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cstheme="minorHAnsi"/>
          <w:color w:val="17365D" w:themeColor="text2" w:themeShade="BF"/>
          <w:sz w:val="24"/>
          <w:szCs w:val="24"/>
        </w:rPr>
        <w:id w:val="606662403"/>
        <w:docPartObj>
          <w:docPartGallery w:val="Cover Pages"/>
          <w:docPartUnique/>
        </w:docPartObj>
      </w:sdtPr>
      <w:sdtEndPr>
        <w:rPr>
          <w:b/>
          <w:bCs/>
          <w:smallCaps/>
        </w:rPr>
      </w:sdtEndPr>
      <w:sdtContent>
        <w:p w14:paraId="4DEEE227" w14:textId="77777777" w:rsidR="00805D25" w:rsidRPr="0015573F" w:rsidRDefault="00805D25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6066CA35" w14:textId="77777777" w:rsidR="00C77D22" w:rsidRPr="0015573F" w:rsidRDefault="009A416F" w:rsidP="00F61C47">
          <w:pPr>
            <w:tabs>
              <w:tab w:val="left" w:pos="4123"/>
            </w:tabs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E6AB625" wp14:editId="4EDA8202">
                <wp:simplePos x="0" y="0"/>
                <wp:positionH relativeFrom="margin">
                  <wp:posOffset>865068</wp:posOffset>
                </wp:positionH>
                <wp:positionV relativeFrom="paragraph">
                  <wp:posOffset>221367</wp:posOffset>
                </wp:positionV>
                <wp:extent cx="4366049" cy="3982720"/>
                <wp:effectExtent l="0" t="0" r="0" b="0"/>
                <wp:wrapNone/>
                <wp:docPr id="5" name="Picture 5" descr="http://portal.haad.ae/Logos/DOH-CMYK-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rtal.haad.ae/Logos/DOH-CMYK-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6049" cy="398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1C47">
            <w:rPr>
              <w:rFonts w:cstheme="minorHAnsi"/>
              <w:color w:val="17365D" w:themeColor="text2" w:themeShade="BF"/>
              <w:sz w:val="24"/>
              <w:szCs w:val="24"/>
            </w:rPr>
            <w:tab/>
          </w:r>
        </w:p>
        <w:p w14:paraId="62683D80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540C4711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p w14:paraId="760F42C5" w14:textId="77777777" w:rsidR="00C77D22" w:rsidRPr="0015573F" w:rsidRDefault="00C77D22" w:rsidP="00455D38">
          <w:pPr>
            <w:jc w:val="both"/>
            <w:rPr>
              <w:rFonts w:cstheme="minorHAnsi"/>
              <w:color w:val="17365D" w:themeColor="text2" w:themeShade="BF"/>
              <w:sz w:val="24"/>
              <w:szCs w:val="24"/>
            </w:rPr>
          </w:pPr>
        </w:p>
        <w:tbl>
          <w:tblPr>
            <w:tblpPr w:leftFromText="187" w:rightFromText="187" w:vertAnchor="page" w:horzAnchor="margin" w:tblpXSpec="center" w:tblpY="976"/>
            <w:tblW w:w="58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7292"/>
            <w:gridCol w:w="2391"/>
            <w:gridCol w:w="1697"/>
          </w:tblGrid>
          <w:tr w:rsidR="008965B6" w:rsidRPr="0015573F" w14:paraId="0799A166" w14:textId="77777777" w:rsidTr="00455D38">
            <w:trPr>
              <w:trHeight w:val="3146"/>
            </w:trPr>
            <w:tc>
              <w:tcPr>
                <w:tcW w:w="7597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14:paraId="4281797A" w14:textId="33A30D24" w:rsidR="00D218B1" w:rsidRPr="005C3721" w:rsidRDefault="00C704DF" w:rsidP="00015CBE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eastAsiaTheme="majorEastAsia" w:cstheme="minorHAnsi"/>
                    <w:color w:val="17365D" w:themeColor="text2" w:themeShade="BF"/>
                    <w:sz w:val="52"/>
                    <w:szCs w:val="52"/>
                  </w:rPr>
                </w:pPr>
                <w:sdt>
                  <w:sdtPr>
                    <w:rPr>
                      <w:rFonts w:cstheme="minorHAnsi"/>
                      <w:b/>
                      <w:bCs/>
                      <w:color w:val="17365D" w:themeColor="text2" w:themeShade="BF"/>
                      <w:sz w:val="52"/>
                      <w:szCs w:val="52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920D9A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</w:rPr>
                      <w:t xml:space="preserve">Addendum </w:t>
                    </w:r>
                    <w:r w:rsidR="00BB293C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</w:rPr>
                      <w:t>21</w:t>
                    </w:r>
                    <w:r w:rsidR="00920D9A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52"/>
                        <w:szCs w:val="52"/>
                      </w:rPr>
                      <w:t xml:space="preserve"> to DOH Claims &amp; Adjudication Rules</w:t>
                    </w:r>
                  </w:sdtContent>
                </w:sdt>
              </w:p>
            </w:tc>
            <w:tc>
              <w:tcPr>
                <w:tcW w:w="4284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14:paraId="7C1E052C" w14:textId="77777777" w:rsidR="00E7004E" w:rsidRPr="0015573F" w:rsidRDefault="00E7004E" w:rsidP="00C77D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  <w:r w:rsidRPr="0015573F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Version</w:t>
                </w:r>
              </w:p>
              <w:p w14:paraId="26B9709B" w14:textId="77777777" w:rsidR="00E7004E" w:rsidRPr="0015573F" w:rsidRDefault="00E7004E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  <w:p w14:paraId="3321BB75" w14:textId="77777777" w:rsidR="00D218B1" w:rsidRPr="005C3721" w:rsidRDefault="00E7004E" w:rsidP="007D65F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</w:pPr>
                <w:r w:rsidRPr="005C3721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V201</w:t>
                </w:r>
                <w:r w:rsidR="007D65F8">
                  <w:rPr>
                    <w:rFonts w:cstheme="minorHAnsi"/>
                    <w:b/>
                    <w:bCs/>
                    <w:color w:val="17365D" w:themeColor="text2" w:themeShade="BF"/>
                    <w:sz w:val="32"/>
                    <w:szCs w:val="32"/>
                  </w:rPr>
                  <w:t>2</w:t>
                </w:r>
              </w:p>
              <w:p w14:paraId="3021467B" w14:textId="77777777" w:rsidR="005C3721" w:rsidRPr="0015573F" w:rsidRDefault="005C3721" w:rsidP="00E3026B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17365D" w:themeColor="text2" w:themeShade="BF"/>
                    <w:sz w:val="52"/>
                    <w:szCs w:val="52"/>
                  </w:rPr>
                </w:pPr>
              </w:p>
            </w:tc>
          </w:tr>
          <w:tr w:rsidR="008965B6" w:rsidRPr="0015573F" w14:paraId="2928230A" w14:textId="77777777" w:rsidTr="00057218">
            <w:trPr>
              <w:trHeight w:val="1301"/>
            </w:trPr>
            <w:sdt>
              <w:sdtPr>
                <w:rPr>
                  <w:rFonts w:cstheme="minorHAnsi"/>
                  <w:b/>
                  <w:bCs/>
                  <w:color w:val="17365D" w:themeColor="text2" w:themeShade="BF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0116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14:paraId="2BD168D3" w14:textId="77777777" w:rsidR="00D218B1" w:rsidRPr="0015573F" w:rsidRDefault="00784200" w:rsidP="00C77D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32"/>
                        <w:szCs w:val="32"/>
                      </w:rPr>
                    </w:pPr>
                    <w:r w:rsidRPr="0015573F">
                      <w:rPr>
                        <w:rFonts w:cstheme="minorHAnsi"/>
                        <w:b/>
                        <w:bCs/>
                        <w:color w:val="17365D" w:themeColor="text2" w:themeShade="BF"/>
                        <w:sz w:val="28"/>
                        <w:szCs w:val="28"/>
                      </w:rPr>
                      <w:t>Including the Mandatory Tariff Pricelist Application Rules.</w:t>
                    </w:r>
                  </w:p>
                </w:tc>
              </w:sdtContent>
            </w:sdt>
            <w:tc>
              <w:tcPr>
                <w:tcW w:w="1765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1BAF24EC" w14:textId="77777777" w:rsidR="00D218B1" w:rsidRPr="0015573F" w:rsidRDefault="00D218B1" w:rsidP="00455D38">
                <w:pPr>
                  <w:pStyle w:val="NoSpacing"/>
                  <w:jc w:val="both"/>
                  <w:rPr>
                    <w:rFonts w:eastAsiaTheme="majorEastAsia" w:cstheme="minorHAnsi"/>
                    <w:b/>
                    <w:bCs/>
                    <w:color w:val="17365D" w:themeColor="text2" w:themeShade="BF"/>
                    <w:sz w:val="24"/>
                    <w:szCs w:val="24"/>
                  </w:rPr>
                </w:pPr>
              </w:p>
            </w:tc>
          </w:tr>
        </w:tbl>
        <w:p w14:paraId="03D4FE0B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1D22A372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54E50FC6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729B0415" w14:textId="77777777" w:rsidR="00C77D22" w:rsidRPr="0015573F" w:rsidRDefault="00C77D22" w:rsidP="00C77D2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17365D" w:themeColor="text2" w:themeShade="BF"/>
              <w:sz w:val="52"/>
              <w:szCs w:val="52"/>
            </w:rPr>
          </w:pPr>
        </w:p>
        <w:p w14:paraId="3FF87BB6" w14:textId="77777777" w:rsidR="00791B9A" w:rsidRDefault="00791B9A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  <w:p w14:paraId="3AAEC61E" w14:textId="77777777" w:rsidR="00791B9A" w:rsidRDefault="00791B9A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  <w:p w14:paraId="5DF32DEF" w14:textId="77777777" w:rsidR="00805D25" w:rsidRPr="0015573F" w:rsidRDefault="00C704DF" w:rsidP="00C77D22">
          <w:pPr>
            <w:jc w:val="center"/>
            <w:rPr>
              <w:rFonts w:cstheme="minorHAnsi"/>
              <w:smallCaps/>
              <w:color w:val="17365D" w:themeColor="text2" w:themeShade="BF"/>
              <w:sz w:val="24"/>
              <w:szCs w:val="24"/>
            </w:rPr>
          </w:pPr>
        </w:p>
      </w:sdtContent>
    </w:sdt>
    <w:p w14:paraId="55361D23" w14:textId="77777777" w:rsidR="008409FB" w:rsidRDefault="008409FB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808B676" w14:textId="77777777"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14C922E" w14:textId="77777777" w:rsidR="005C3721" w:rsidRDefault="005C3721" w:rsidP="00F1576E">
      <w:pPr>
        <w:pStyle w:val="ListParagraph"/>
        <w:spacing w:after="0" w:line="240" w:lineRule="auto"/>
        <w:ind w:left="1224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190A2DD" w14:textId="77777777" w:rsidR="005C3721" w:rsidRPr="00B71013" w:rsidRDefault="005C3721" w:rsidP="005C3721">
      <w:pPr>
        <w:rPr>
          <w:rFonts w:cs="Calibri"/>
          <w:b/>
          <w:bCs/>
          <w:sz w:val="10"/>
          <w:szCs w:val="10"/>
        </w:rPr>
      </w:pPr>
    </w:p>
    <w:p w14:paraId="74C4BBF1" w14:textId="40B64E26" w:rsidR="005C3721" w:rsidRPr="00991218" w:rsidRDefault="005C3721" w:rsidP="00915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Purpose of this Document</w:t>
      </w:r>
      <w:r w:rsidR="007F66B9">
        <w:rPr>
          <w:rFonts w:cstheme="minorHAnsi"/>
          <w:b/>
          <w:color w:val="17365D" w:themeColor="text2" w:themeShade="BF"/>
          <w:sz w:val="28"/>
          <w:szCs w:val="28"/>
        </w:rPr>
        <w:t>:</w:t>
      </w:r>
    </w:p>
    <w:p w14:paraId="3A6B0D94" w14:textId="77777777" w:rsidR="005C3721" w:rsidRPr="00660527" w:rsidRDefault="005C3721" w:rsidP="005C372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14"/>
          <w:szCs w:val="14"/>
        </w:rPr>
      </w:pPr>
    </w:p>
    <w:p w14:paraId="37F4B883" w14:textId="532CEE7C" w:rsidR="00A8737A" w:rsidRDefault="00BC42FC" w:rsidP="00995294">
      <w:pPr>
        <w:pStyle w:val="ListParagraph"/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This </w:t>
      </w:r>
      <w:r w:rsidR="007F66B9">
        <w:rPr>
          <w:rFonts w:cstheme="minorHAnsi"/>
          <w:color w:val="17365D" w:themeColor="text2" w:themeShade="BF"/>
          <w:sz w:val="24"/>
          <w:szCs w:val="24"/>
        </w:rPr>
        <w:t>a</w:t>
      </w:r>
      <w:r w:rsidRPr="0036439A">
        <w:rPr>
          <w:rFonts w:cstheme="minorHAnsi"/>
          <w:color w:val="17365D" w:themeColor="text2" w:themeShade="BF"/>
          <w:sz w:val="24"/>
          <w:szCs w:val="24"/>
        </w:rPr>
        <w:t>ddendum</w:t>
      </w: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8001D">
        <w:rPr>
          <w:rFonts w:cstheme="minorHAnsi"/>
          <w:color w:val="17365D" w:themeColor="text2" w:themeShade="BF"/>
          <w:sz w:val="24"/>
          <w:szCs w:val="24"/>
        </w:rPr>
        <w:t>is</w:t>
      </w:r>
      <w:r w:rsidRPr="00BC42FC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20D9A">
        <w:rPr>
          <w:rFonts w:cstheme="minorHAnsi"/>
          <w:color w:val="17365D" w:themeColor="text2" w:themeShade="BF"/>
          <w:sz w:val="24"/>
          <w:szCs w:val="24"/>
        </w:rPr>
        <w:t xml:space="preserve">to </w:t>
      </w:r>
      <w:r w:rsidR="00995294">
        <w:rPr>
          <w:rFonts w:cstheme="minorHAnsi"/>
          <w:color w:val="17365D" w:themeColor="text2" w:themeShade="BF"/>
          <w:sz w:val="24"/>
          <w:szCs w:val="24"/>
        </w:rPr>
        <w:t>introduc</w:t>
      </w:r>
      <w:r w:rsidR="00920D9A">
        <w:rPr>
          <w:rFonts w:cstheme="minorHAnsi"/>
          <w:color w:val="17365D" w:themeColor="text2" w:themeShade="BF"/>
          <w:sz w:val="24"/>
          <w:szCs w:val="24"/>
        </w:rPr>
        <w:t>e</w:t>
      </w:r>
      <w:r w:rsidR="00B56D8D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995294">
        <w:rPr>
          <w:rFonts w:cstheme="minorHAnsi"/>
          <w:color w:val="17365D" w:themeColor="text2" w:themeShade="BF"/>
          <w:sz w:val="24"/>
          <w:szCs w:val="24"/>
        </w:rPr>
        <w:t>the 2018 code sets for ICD 10-CM, CPT® and HCPCS codes</w:t>
      </w:r>
    </w:p>
    <w:p w14:paraId="425759F3" w14:textId="77777777" w:rsidR="00CE2F35" w:rsidRPr="0036439A" w:rsidRDefault="00CE2F35" w:rsidP="00A8737A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C228962" w14:textId="77777777" w:rsidR="005C3721" w:rsidRPr="00991218" w:rsidRDefault="006B2530" w:rsidP="009155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t>E</w:t>
      </w:r>
      <w:r w:rsidR="005C3721" w:rsidRPr="00991218">
        <w:rPr>
          <w:rFonts w:cstheme="minorHAnsi"/>
          <w:b/>
          <w:color w:val="17365D" w:themeColor="text2" w:themeShade="BF"/>
          <w:sz w:val="28"/>
          <w:szCs w:val="28"/>
        </w:rPr>
        <w:t xml:space="preserve">ffective Date: </w:t>
      </w:r>
    </w:p>
    <w:p w14:paraId="43FD40BB" w14:textId="77777777" w:rsidR="005C3721" w:rsidRPr="00660527" w:rsidRDefault="005C3721" w:rsidP="005C3721">
      <w:pPr>
        <w:pStyle w:val="ListParagraph"/>
        <w:ind w:left="360"/>
        <w:rPr>
          <w:rFonts w:cs="Calibri"/>
          <w:sz w:val="14"/>
          <w:szCs w:val="14"/>
        </w:rPr>
      </w:pPr>
    </w:p>
    <w:p w14:paraId="65A90E63" w14:textId="1196E82B" w:rsidR="00B42DA8" w:rsidRDefault="003B4421" w:rsidP="0036439A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24"/>
          <w:szCs w:val="24"/>
        </w:rPr>
      </w:pPr>
      <w:r w:rsidRPr="003B4421">
        <w:rPr>
          <w:rFonts w:cstheme="minorHAnsi"/>
          <w:color w:val="17365D" w:themeColor="text2" w:themeShade="BF"/>
          <w:sz w:val="24"/>
          <w:szCs w:val="24"/>
        </w:rPr>
        <w:t>1</w:t>
      </w:r>
      <w:r w:rsidR="00995294">
        <w:rPr>
          <w:rFonts w:cstheme="minorHAnsi"/>
          <w:color w:val="17365D" w:themeColor="text2" w:themeShade="BF"/>
          <w:sz w:val="24"/>
          <w:szCs w:val="24"/>
        </w:rPr>
        <w:t xml:space="preserve"> July</w:t>
      </w:r>
      <w:r w:rsidR="009322FA">
        <w:rPr>
          <w:rFonts w:cstheme="minorHAnsi"/>
          <w:color w:val="17365D" w:themeColor="text2" w:themeShade="BF"/>
          <w:sz w:val="24"/>
          <w:szCs w:val="24"/>
        </w:rPr>
        <w:t xml:space="preserve"> 2021 </w:t>
      </w:r>
    </w:p>
    <w:p w14:paraId="2199DE9B" w14:textId="77777777" w:rsidR="00082E31" w:rsidRPr="00660527" w:rsidRDefault="00082E31" w:rsidP="007D65F8">
      <w:pPr>
        <w:pStyle w:val="ListParagraph"/>
        <w:spacing w:after="0" w:line="240" w:lineRule="auto"/>
        <w:ind w:left="792" w:hanging="72"/>
        <w:jc w:val="both"/>
        <w:rPr>
          <w:rFonts w:cstheme="minorHAnsi"/>
          <w:color w:val="17365D" w:themeColor="text2" w:themeShade="BF"/>
          <w:sz w:val="14"/>
          <w:szCs w:val="14"/>
        </w:rPr>
      </w:pPr>
    </w:p>
    <w:p w14:paraId="293097BE" w14:textId="34E6C9DE" w:rsidR="00633C9E" w:rsidRDefault="00633C9E" w:rsidP="00633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991218">
        <w:rPr>
          <w:rFonts w:cstheme="minorHAnsi"/>
          <w:b/>
          <w:color w:val="17365D" w:themeColor="text2" w:themeShade="BF"/>
          <w:sz w:val="28"/>
          <w:szCs w:val="28"/>
        </w:rPr>
        <w:t>Claims and Adjudication Rules</w:t>
      </w:r>
      <w:r w:rsidR="00D9782D">
        <w:rPr>
          <w:rFonts w:cstheme="minorHAnsi"/>
          <w:b/>
          <w:color w:val="17365D" w:themeColor="text2" w:themeShade="BF"/>
          <w:sz w:val="28"/>
          <w:szCs w:val="28"/>
        </w:rPr>
        <w:t xml:space="preserve"> update </w:t>
      </w:r>
    </w:p>
    <w:p w14:paraId="483A0E05" w14:textId="4D6CC417" w:rsidR="00633C9E" w:rsidRDefault="00633C9E" w:rsidP="00633C9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14:paraId="5DCFF149" w14:textId="58ECB8A9" w:rsidR="00207144" w:rsidRPr="00A31567" w:rsidRDefault="00207144" w:rsidP="00207144">
      <w:pPr>
        <w:spacing w:after="0" w:line="240" w:lineRule="auto"/>
        <w:jc w:val="both"/>
        <w:rPr>
          <w:rFonts w:cstheme="minorHAnsi"/>
          <w:b/>
          <w:color w:val="8DB3E2" w:themeColor="text2" w:themeTint="66"/>
          <w:sz w:val="28"/>
          <w:szCs w:val="28"/>
        </w:rPr>
      </w:pPr>
      <w:r w:rsidRPr="00A31567">
        <w:rPr>
          <w:rFonts w:cstheme="minorHAnsi"/>
          <w:b/>
          <w:color w:val="8DB3E2" w:themeColor="text2" w:themeTint="66"/>
          <w:sz w:val="28"/>
          <w:szCs w:val="28"/>
        </w:rPr>
        <w:t xml:space="preserve">2 Implementation Rules: </w:t>
      </w:r>
    </w:p>
    <w:p w14:paraId="0642D833" w14:textId="3431B4A6" w:rsidR="00633C9E" w:rsidRPr="00A31567" w:rsidRDefault="001C0424" w:rsidP="007475DF">
      <w:pPr>
        <w:spacing w:after="0" w:line="240" w:lineRule="auto"/>
        <w:ind w:left="360"/>
        <w:jc w:val="both"/>
        <w:rPr>
          <w:rFonts w:cstheme="minorHAnsi"/>
          <w:b/>
          <w:color w:val="8DB3E2" w:themeColor="text2" w:themeTint="66"/>
          <w:sz w:val="28"/>
          <w:szCs w:val="28"/>
        </w:rPr>
      </w:pPr>
      <w:r w:rsidRPr="00A31567">
        <w:rPr>
          <w:rFonts w:cstheme="minorHAnsi"/>
          <w:b/>
          <w:color w:val="8DB3E2" w:themeColor="text2" w:themeTint="66"/>
          <w:sz w:val="28"/>
          <w:szCs w:val="28"/>
        </w:rPr>
        <w:t xml:space="preserve">2.4.2 </w:t>
      </w:r>
      <w:r w:rsidR="00B230EF" w:rsidRPr="00A31567">
        <w:rPr>
          <w:rFonts w:cstheme="minorHAnsi"/>
          <w:b/>
          <w:color w:val="8DB3E2" w:themeColor="text2" w:themeTint="66"/>
          <w:sz w:val="28"/>
          <w:szCs w:val="28"/>
        </w:rPr>
        <w:t>Multiplier Application Ranges</w:t>
      </w:r>
      <w:r w:rsidR="00BE3482" w:rsidRPr="00A31567">
        <w:rPr>
          <w:rFonts w:cstheme="minorHAnsi"/>
          <w:b/>
          <w:color w:val="8DB3E2" w:themeColor="text2" w:themeTint="66"/>
          <w:sz w:val="28"/>
          <w:szCs w:val="28"/>
        </w:rPr>
        <w:t xml:space="preserve"> </w:t>
      </w:r>
    </w:p>
    <w:p w14:paraId="15129098" w14:textId="4E1730E8" w:rsidR="00B230EF" w:rsidRPr="0047155E" w:rsidRDefault="00B230EF" w:rsidP="0085545D">
      <w:pPr>
        <w:pStyle w:val="ListParagraph"/>
        <w:numPr>
          <w:ilvl w:val="1"/>
          <w:numId w:val="10"/>
        </w:numPr>
        <w:spacing w:after="0" w:line="240" w:lineRule="auto"/>
        <w:ind w:left="1008"/>
        <w:jc w:val="both"/>
        <w:rPr>
          <w:rFonts w:cs="Calibri"/>
          <w:b/>
          <w:bCs/>
          <w:color w:val="17365D"/>
          <w:sz w:val="24"/>
          <w:szCs w:val="24"/>
          <w:u w:val="single"/>
        </w:rPr>
      </w:pPr>
      <w:r w:rsidRPr="00B230EF">
        <w:rPr>
          <w:rFonts w:cs="Calibri"/>
          <w:color w:val="17365D"/>
          <w:sz w:val="24"/>
          <w:szCs w:val="24"/>
        </w:rPr>
        <w:t>Single multiplier per CPT range</w:t>
      </w:r>
      <w:r w:rsidR="00B06033">
        <w:rPr>
          <w:rFonts w:cs="Calibri"/>
          <w:color w:val="17365D"/>
          <w:sz w:val="24"/>
          <w:szCs w:val="24"/>
        </w:rPr>
        <w:t>, details are depicted in</w:t>
      </w:r>
      <w:r w:rsidR="00E0584D">
        <w:rPr>
          <w:rFonts w:cs="Calibri"/>
          <w:color w:val="17365D"/>
          <w:sz w:val="24"/>
          <w:szCs w:val="24"/>
        </w:rPr>
        <w:t xml:space="preserve"> </w:t>
      </w:r>
      <w:r w:rsidR="0047155E">
        <w:rPr>
          <w:rFonts w:cs="Calibri"/>
          <w:color w:val="17365D"/>
          <w:sz w:val="24"/>
          <w:szCs w:val="24"/>
        </w:rPr>
        <w:t xml:space="preserve">updated </w:t>
      </w:r>
      <w:r w:rsidRPr="00B230EF">
        <w:rPr>
          <w:rFonts w:cs="Calibri"/>
          <w:color w:val="17365D"/>
          <w:sz w:val="24"/>
          <w:szCs w:val="24"/>
        </w:rPr>
        <w:t xml:space="preserve">Appendix B </w:t>
      </w:r>
    </w:p>
    <w:p w14:paraId="4DE97C2B" w14:textId="656E2005" w:rsidR="00B230EF" w:rsidRDefault="00B230EF" w:rsidP="0085545D">
      <w:pPr>
        <w:pStyle w:val="ListParagraph"/>
        <w:numPr>
          <w:ilvl w:val="1"/>
          <w:numId w:val="10"/>
        </w:numPr>
        <w:spacing w:after="0" w:line="240" w:lineRule="auto"/>
        <w:ind w:left="1008"/>
        <w:jc w:val="both"/>
        <w:rPr>
          <w:rFonts w:cs="Calibri"/>
          <w:color w:val="17365D"/>
          <w:sz w:val="24"/>
          <w:szCs w:val="24"/>
        </w:rPr>
      </w:pPr>
      <w:r w:rsidRPr="00B230EF">
        <w:rPr>
          <w:rFonts w:cs="Calibri"/>
          <w:color w:val="17365D"/>
          <w:sz w:val="24"/>
          <w:szCs w:val="24"/>
        </w:rPr>
        <w:t>Single Base Rate for all Anesthesia code</w:t>
      </w:r>
      <w:r>
        <w:rPr>
          <w:rFonts w:cs="Calibri"/>
          <w:color w:val="17365D"/>
          <w:sz w:val="24"/>
          <w:szCs w:val="24"/>
        </w:rPr>
        <w:t xml:space="preserve"> ranges </w:t>
      </w:r>
      <w:r w:rsidRPr="00B230EF">
        <w:rPr>
          <w:rFonts w:cs="Calibri"/>
          <w:color w:val="17365D"/>
          <w:sz w:val="24"/>
          <w:szCs w:val="24"/>
        </w:rPr>
        <w:t xml:space="preserve">(00100-01999; </w:t>
      </w:r>
      <w:r w:rsidRPr="0047155E">
        <w:rPr>
          <w:rFonts w:cs="Calibri"/>
          <w:b/>
          <w:bCs/>
          <w:color w:val="17365D"/>
          <w:sz w:val="24"/>
          <w:szCs w:val="24"/>
          <w:u w:val="single"/>
        </w:rPr>
        <w:t>99100-99157</w:t>
      </w:r>
      <w:r w:rsidRPr="00B230EF">
        <w:rPr>
          <w:rFonts w:cs="Calibri"/>
          <w:color w:val="17365D"/>
          <w:sz w:val="24"/>
          <w:szCs w:val="24"/>
        </w:rPr>
        <w:t>)</w:t>
      </w:r>
      <w:r w:rsidR="00812988">
        <w:rPr>
          <w:rFonts w:cs="Calibri"/>
          <w:color w:val="17365D"/>
          <w:sz w:val="24"/>
          <w:szCs w:val="24"/>
        </w:rPr>
        <w:t xml:space="preserve"> </w:t>
      </w:r>
      <w:r w:rsidR="00812988" w:rsidRPr="00812988">
        <w:rPr>
          <w:rFonts w:cs="Calibri"/>
          <w:color w:val="17365D"/>
          <w:sz w:val="24"/>
          <w:szCs w:val="24"/>
        </w:rPr>
        <w:t>per provider branch or all branches, and Insurance company single product, and bundle of products, or all products; In the presence of TPA: per Individual or all represented insurance companies.</w:t>
      </w:r>
    </w:p>
    <w:p w14:paraId="744849E2" w14:textId="095CBEA0" w:rsidR="00997940" w:rsidRDefault="00997940" w:rsidP="00997940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p w14:paraId="05AA1729" w14:textId="7C47F7D4" w:rsidR="008B0DB8" w:rsidRPr="00A31567" w:rsidRDefault="008B0DB8" w:rsidP="008B0DB8">
      <w:pPr>
        <w:spacing w:after="0" w:line="240" w:lineRule="auto"/>
        <w:jc w:val="both"/>
        <w:rPr>
          <w:rFonts w:cstheme="minorHAnsi"/>
          <w:b/>
          <w:color w:val="8DB3E2" w:themeColor="text2" w:themeTint="66"/>
          <w:sz w:val="28"/>
          <w:szCs w:val="28"/>
        </w:rPr>
      </w:pPr>
      <w:r w:rsidRPr="00A31567">
        <w:rPr>
          <w:rFonts w:cstheme="minorHAnsi"/>
          <w:b/>
          <w:color w:val="8DB3E2" w:themeColor="text2" w:themeTint="66"/>
          <w:sz w:val="28"/>
          <w:szCs w:val="28"/>
        </w:rPr>
        <w:t>3 Code Definitions:</w:t>
      </w:r>
    </w:p>
    <w:p w14:paraId="13213634" w14:textId="4E59A5A7" w:rsidR="00997940" w:rsidRPr="00A31567" w:rsidRDefault="00DA6682" w:rsidP="0085545D">
      <w:pPr>
        <w:spacing w:after="0" w:line="240" w:lineRule="auto"/>
        <w:ind w:left="360"/>
        <w:jc w:val="both"/>
        <w:rPr>
          <w:rFonts w:cstheme="minorHAnsi"/>
          <w:b/>
          <w:color w:val="8DB3E2" w:themeColor="text2" w:themeTint="66"/>
          <w:sz w:val="28"/>
          <w:szCs w:val="28"/>
        </w:rPr>
      </w:pPr>
      <w:r w:rsidRPr="00A31567">
        <w:rPr>
          <w:rFonts w:cstheme="minorHAnsi"/>
          <w:b/>
          <w:color w:val="8DB3E2" w:themeColor="text2" w:themeTint="66"/>
          <w:sz w:val="28"/>
          <w:szCs w:val="28"/>
        </w:rPr>
        <w:t xml:space="preserve">3.1 </w:t>
      </w:r>
      <w:r w:rsidR="00997940" w:rsidRPr="00A31567">
        <w:rPr>
          <w:rFonts w:cstheme="minorHAnsi"/>
          <w:b/>
          <w:color w:val="8DB3E2" w:themeColor="text2" w:themeTint="66"/>
          <w:sz w:val="28"/>
          <w:szCs w:val="28"/>
        </w:rPr>
        <w:t>Standard Code Ranges</w:t>
      </w:r>
    </w:p>
    <w:p w14:paraId="26E7C33B" w14:textId="77777777" w:rsidR="00E0077C" w:rsidRDefault="00997940" w:rsidP="0070605D">
      <w:pPr>
        <w:pStyle w:val="ListParagraph"/>
        <w:numPr>
          <w:ilvl w:val="0"/>
          <w:numId w:val="11"/>
        </w:numPr>
        <w:spacing w:after="0" w:line="240" w:lineRule="auto"/>
        <w:ind w:left="864"/>
        <w:jc w:val="both"/>
        <w:rPr>
          <w:rFonts w:cs="Calibri"/>
          <w:color w:val="17365D"/>
          <w:sz w:val="24"/>
          <w:szCs w:val="24"/>
        </w:rPr>
      </w:pPr>
      <w:r w:rsidRPr="00BE3482">
        <w:rPr>
          <w:rFonts w:cs="Calibri"/>
          <w:color w:val="17365D"/>
          <w:sz w:val="24"/>
          <w:szCs w:val="24"/>
        </w:rPr>
        <w:t xml:space="preserve">Coding of healthcare products and </w:t>
      </w:r>
      <w:r w:rsidRPr="00E97A57">
        <w:rPr>
          <w:rFonts w:cs="Calibri"/>
          <w:color w:val="17365D"/>
          <w:sz w:val="24"/>
          <w:szCs w:val="24"/>
        </w:rPr>
        <w:t xml:space="preserve">services </w:t>
      </w:r>
      <w:r w:rsidR="00E97A57">
        <w:rPr>
          <w:rFonts w:cs="Calibri"/>
          <w:color w:val="17365D"/>
          <w:sz w:val="24"/>
          <w:szCs w:val="24"/>
        </w:rPr>
        <w:t xml:space="preserve">must be done as per </w:t>
      </w:r>
      <w:r w:rsidR="005A019A">
        <w:rPr>
          <w:rFonts w:cs="Calibri"/>
          <w:color w:val="17365D"/>
          <w:sz w:val="24"/>
          <w:szCs w:val="24"/>
        </w:rPr>
        <w:t>the</w:t>
      </w:r>
      <w:r w:rsidR="006F749E" w:rsidRPr="00BE3482">
        <w:rPr>
          <w:rFonts w:cs="Calibri"/>
          <w:color w:val="17365D"/>
          <w:sz w:val="24"/>
          <w:szCs w:val="24"/>
        </w:rPr>
        <w:t xml:space="preserve"> </w:t>
      </w:r>
      <w:r w:rsidRPr="00E97A57">
        <w:rPr>
          <w:rFonts w:cs="Calibri"/>
          <w:color w:val="17365D"/>
          <w:sz w:val="24"/>
          <w:szCs w:val="24"/>
        </w:rPr>
        <w:t xml:space="preserve">“DOH Coding Manual for Hospitals and Other Healthcare </w:t>
      </w:r>
      <w:r w:rsidR="00BF7333" w:rsidRPr="00E97A57">
        <w:rPr>
          <w:rFonts w:cs="Calibri"/>
          <w:color w:val="17365D"/>
          <w:sz w:val="24"/>
          <w:szCs w:val="24"/>
        </w:rPr>
        <w:t>Institutions</w:t>
      </w:r>
      <w:r w:rsidRPr="00F83C09">
        <w:rPr>
          <w:rFonts w:cs="Calibri"/>
          <w:color w:val="17365D"/>
          <w:sz w:val="24"/>
          <w:szCs w:val="24"/>
        </w:rPr>
        <w:t xml:space="preserve">” available on DoH website </w:t>
      </w:r>
      <w:hyperlink r:id="rId13" w:history="1">
        <w:r>
          <w:rPr>
            <w:rStyle w:val="Hyperlink"/>
          </w:rPr>
          <w:t>Standards - Shafafiya - Department of Health (doh.gov.ae)</w:t>
        </w:r>
      </w:hyperlink>
      <w:r>
        <w:t xml:space="preserve"> </w:t>
      </w:r>
      <w:r w:rsidRPr="00BE3482">
        <w:rPr>
          <w:rFonts w:cs="Calibri"/>
          <w:color w:val="17365D"/>
          <w:sz w:val="24"/>
          <w:szCs w:val="24"/>
        </w:rPr>
        <w:t>under</w:t>
      </w:r>
      <w:r w:rsidRPr="00E97A57">
        <w:rPr>
          <w:rFonts w:cs="Calibri"/>
          <w:color w:val="17365D"/>
          <w:sz w:val="24"/>
          <w:szCs w:val="24"/>
        </w:rPr>
        <w:t xml:space="preserve"> Standards/ Coding Manual</w:t>
      </w:r>
      <w:r w:rsidR="005A019A">
        <w:rPr>
          <w:rFonts w:cs="Calibri"/>
          <w:color w:val="17365D"/>
          <w:sz w:val="24"/>
          <w:szCs w:val="24"/>
        </w:rPr>
        <w:t xml:space="preserve">. </w:t>
      </w:r>
    </w:p>
    <w:p w14:paraId="76A538F0" w14:textId="5878A1E5" w:rsidR="00997940" w:rsidRPr="00E97A57" w:rsidRDefault="005A019A" w:rsidP="0070605D">
      <w:pPr>
        <w:pStyle w:val="ListParagraph"/>
        <w:numPr>
          <w:ilvl w:val="0"/>
          <w:numId w:val="11"/>
        </w:numPr>
        <w:spacing w:after="0" w:line="240" w:lineRule="auto"/>
        <w:ind w:left="864"/>
        <w:jc w:val="both"/>
        <w:rPr>
          <w:rFonts w:cs="Calibri"/>
          <w:color w:val="17365D"/>
          <w:sz w:val="24"/>
          <w:szCs w:val="24"/>
        </w:rPr>
      </w:pPr>
      <w:r>
        <w:rPr>
          <w:rFonts w:cs="Calibri"/>
          <w:color w:val="17365D"/>
          <w:sz w:val="24"/>
          <w:szCs w:val="24"/>
        </w:rPr>
        <w:t>This manual encompasses the followings</w:t>
      </w:r>
      <w:r w:rsidR="00997940" w:rsidRPr="00E97A57">
        <w:rPr>
          <w:rFonts w:cs="Calibri"/>
          <w:color w:val="17365D"/>
          <w:sz w:val="24"/>
          <w:szCs w:val="24"/>
        </w:rPr>
        <w:t xml:space="preserve">: </w:t>
      </w:r>
    </w:p>
    <w:p w14:paraId="110133AC" w14:textId="6EDCA488" w:rsidR="00997940" w:rsidRPr="00FF5857" w:rsidRDefault="00997940" w:rsidP="0085545D">
      <w:pPr>
        <w:pStyle w:val="ListParagraph"/>
        <w:numPr>
          <w:ilvl w:val="0"/>
          <w:numId w:val="12"/>
        </w:numPr>
        <w:spacing w:after="0" w:line="240" w:lineRule="auto"/>
        <w:ind w:left="1224"/>
        <w:rPr>
          <w:rFonts w:cs="Calibri"/>
          <w:b/>
          <w:bCs/>
          <w:color w:val="17365D"/>
          <w:sz w:val="24"/>
          <w:szCs w:val="24"/>
          <w:u w:val="single"/>
        </w:rPr>
      </w:pPr>
      <w:r w:rsidRPr="00FF5857">
        <w:rPr>
          <w:rFonts w:cs="Calibri"/>
          <w:b/>
          <w:bCs/>
          <w:color w:val="17365D"/>
          <w:sz w:val="24"/>
          <w:szCs w:val="24"/>
          <w:u w:val="single"/>
        </w:rPr>
        <w:t>ICD 10-CM (International Classification of Diseases, 10th revision)</w:t>
      </w:r>
    </w:p>
    <w:p w14:paraId="4BF7E467" w14:textId="0E9F78C0" w:rsidR="00997940" w:rsidRPr="00997940" w:rsidRDefault="00997940" w:rsidP="0085545D">
      <w:pPr>
        <w:pStyle w:val="ListParagraph"/>
        <w:numPr>
          <w:ilvl w:val="0"/>
          <w:numId w:val="12"/>
        </w:numPr>
        <w:spacing w:after="0" w:line="240" w:lineRule="auto"/>
        <w:ind w:left="1224"/>
        <w:rPr>
          <w:rFonts w:cs="Calibri"/>
          <w:color w:val="17365D"/>
          <w:sz w:val="24"/>
          <w:szCs w:val="24"/>
        </w:rPr>
      </w:pPr>
      <w:r w:rsidRPr="00997940">
        <w:rPr>
          <w:rFonts w:cs="Calibri"/>
          <w:color w:val="17365D"/>
          <w:sz w:val="24"/>
          <w:szCs w:val="24"/>
        </w:rPr>
        <w:t>CPT®-4 (Current Procedural Terminology)</w:t>
      </w:r>
    </w:p>
    <w:p w14:paraId="417482F9" w14:textId="04AABDC8" w:rsidR="000B0293" w:rsidRDefault="00997940" w:rsidP="00E70542">
      <w:pPr>
        <w:pStyle w:val="ListParagraph"/>
        <w:numPr>
          <w:ilvl w:val="0"/>
          <w:numId w:val="12"/>
        </w:numPr>
        <w:spacing w:after="0" w:line="240" w:lineRule="auto"/>
        <w:ind w:left="1224"/>
        <w:rPr>
          <w:rFonts w:cs="Calibri"/>
          <w:color w:val="17365D"/>
          <w:sz w:val="24"/>
          <w:szCs w:val="24"/>
        </w:rPr>
      </w:pPr>
      <w:r w:rsidRPr="00997940">
        <w:rPr>
          <w:rFonts w:cs="Calibri"/>
          <w:color w:val="17365D"/>
          <w:sz w:val="24"/>
          <w:szCs w:val="24"/>
        </w:rPr>
        <w:t>HCPCS (Healthcare Common Procedure Coding System</w:t>
      </w:r>
      <w:r w:rsidR="00FC5425">
        <w:rPr>
          <w:rFonts w:cs="Calibri"/>
          <w:color w:val="17365D"/>
          <w:sz w:val="24"/>
          <w:szCs w:val="24"/>
        </w:rPr>
        <w:t>)</w:t>
      </w:r>
    </w:p>
    <w:p w14:paraId="0144E3F4" w14:textId="0F23CAA3" w:rsidR="007475DF" w:rsidRPr="0068327F" w:rsidRDefault="00A31567" w:rsidP="0068327F">
      <w:pPr>
        <w:pStyle w:val="ListParagraph"/>
        <w:spacing w:after="0" w:line="240" w:lineRule="auto"/>
        <w:ind w:left="1224"/>
        <w:rPr>
          <w:rFonts w:cs="Calibri"/>
          <w:color w:val="17365D"/>
          <w:sz w:val="24"/>
          <w:szCs w:val="24"/>
        </w:rPr>
      </w:pPr>
      <w:r>
        <w:rPr>
          <w:rFonts w:cs="Calibri"/>
          <w:color w:val="17365D"/>
          <w:sz w:val="24"/>
          <w:szCs w:val="24"/>
        </w:rPr>
        <w:br w:type="page"/>
      </w:r>
    </w:p>
    <w:p w14:paraId="3412983A" w14:textId="235508C7" w:rsidR="00633C9E" w:rsidRPr="00B230EF" w:rsidRDefault="00B230EF" w:rsidP="0085545D">
      <w:pPr>
        <w:spacing w:after="0" w:line="240" w:lineRule="auto"/>
        <w:ind w:left="360"/>
        <w:jc w:val="both"/>
        <w:rPr>
          <w:rFonts w:cstheme="minorHAnsi"/>
          <w:b/>
          <w:color w:val="17365D" w:themeColor="text2" w:themeShade="BF"/>
          <w:sz w:val="28"/>
          <w:szCs w:val="28"/>
        </w:rPr>
      </w:pPr>
      <w:r w:rsidRPr="00B230EF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Appendix</w:t>
      </w:r>
      <w:r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  <w:r w:rsidRPr="00B230EF">
        <w:rPr>
          <w:rFonts w:cstheme="minorHAnsi"/>
          <w:b/>
          <w:color w:val="17365D" w:themeColor="text2" w:themeShade="BF"/>
          <w:sz w:val="28"/>
          <w:szCs w:val="28"/>
        </w:rPr>
        <w:t>B</w:t>
      </w:r>
      <w:r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  <w:r w:rsidRPr="00B230EF">
        <w:rPr>
          <w:rFonts w:cstheme="minorHAnsi"/>
          <w:b/>
          <w:color w:val="17365D" w:themeColor="text2" w:themeShade="BF"/>
          <w:sz w:val="28"/>
          <w:szCs w:val="28"/>
        </w:rPr>
        <w:t>– CPT</w:t>
      </w:r>
      <w:r w:rsidR="00E50894"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  <w:r w:rsidRPr="00B230EF">
        <w:rPr>
          <w:rFonts w:cstheme="minorHAnsi"/>
          <w:b/>
          <w:color w:val="17365D" w:themeColor="text2" w:themeShade="BF"/>
          <w:sz w:val="28"/>
          <w:szCs w:val="28"/>
        </w:rPr>
        <w:t>Codes</w:t>
      </w:r>
      <w:r w:rsidR="00E50894">
        <w:rPr>
          <w:rFonts w:cstheme="minorHAnsi"/>
          <w:b/>
          <w:color w:val="17365D" w:themeColor="text2" w:themeShade="BF"/>
          <w:sz w:val="28"/>
          <w:szCs w:val="28"/>
        </w:rPr>
        <w:t xml:space="preserve"> </w:t>
      </w:r>
      <w:r w:rsidRPr="00B230EF">
        <w:rPr>
          <w:rFonts w:cstheme="minorHAnsi"/>
          <w:b/>
          <w:color w:val="17365D" w:themeColor="text2" w:themeShade="BF"/>
          <w:sz w:val="28"/>
          <w:szCs w:val="28"/>
        </w:rPr>
        <w:t>Ranges.</w:t>
      </w:r>
    </w:p>
    <w:p w14:paraId="3F743F2E" w14:textId="383EA4FB" w:rsidR="00BF7333" w:rsidRPr="00E50894" w:rsidRDefault="00633C9E" w:rsidP="0070605D">
      <w:pPr>
        <w:pStyle w:val="ListParagraph"/>
        <w:numPr>
          <w:ilvl w:val="0"/>
          <w:numId w:val="11"/>
        </w:numPr>
        <w:spacing w:after="0" w:line="240" w:lineRule="auto"/>
        <w:ind w:left="936"/>
        <w:jc w:val="both"/>
        <w:rPr>
          <w:sz w:val="20"/>
          <w:szCs w:val="20"/>
        </w:rPr>
      </w:pPr>
      <w:r w:rsidRPr="00E50894">
        <w:rPr>
          <w:rFonts w:cs="Calibri"/>
          <w:i/>
          <w:iCs/>
          <w:color w:val="17365D"/>
          <w:sz w:val="20"/>
          <w:szCs w:val="20"/>
        </w:rPr>
        <w:t>Note: refer to section 2.4.2</w:t>
      </w:r>
      <w:r w:rsidR="00D52E63" w:rsidRPr="00E50894">
        <w:rPr>
          <w:rFonts w:cs="Calibri"/>
          <w:i/>
          <w:iCs/>
          <w:color w:val="17365D"/>
          <w:sz w:val="20"/>
          <w:szCs w:val="20"/>
        </w:rPr>
        <w:t xml:space="preserve"> of</w:t>
      </w:r>
      <w:r w:rsidRPr="00E50894">
        <w:rPr>
          <w:rFonts w:cs="Calibri"/>
          <w:i/>
          <w:iCs/>
          <w:color w:val="17365D"/>
          <w:sz w:val="20"/>
          <w:szCs w:val="20"/>
        </w:rPr>
        <w:t xml:space="preserve"> “Multipliers Application Rules</w:t>
      </w:r>
      <w:r w:rsidR="00D52E63" w:rsidRPr="00E50894">
        <w:rPr>
          <w:rFonts w:cs="Calibri"/>
          <w:i/>
          <w:iCs/>
          <w:color w:val="17365D"/>
          <w:sz w:val="20"/>
          <w:szCs w:val="20"/>
        </w:rPr>
        <w:t xml:space="preserve"> Document</w:t>
      </w:r>
      <w:r w:rsidRPr="00E50894">
        <w:rPr>
          <w:rFonts w:cs="Calibri"/>
          <w:i/>
          <w:iCs/>
          <w:color w:val="17365D"/>
          <w:sz w:val="20"/>
          <w:szCs w:val="20"/>
        </w:rPr>
        <w:t>” for the use of the CPT Codes Ranges</w:t>
      </w:r>
    </w:p>
    <w:p w14:paraId="1CA6AFDB" w14:textId="41B527FF" w:rsidR="00E50894" w:rsidRDefault="00E50894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tbl>
      <w:tblPr>
        <w:tblW w:w="9402" w:type="dxa"/>
        <w:tblInd w:w="525" w:type="dxa"/>
        <w:tblLook w:val="04A0" w:firstRow="1" w:lastRow="0" w:firstColumn="1" w:lastColumn="0" w:noHBand="0" w:noVBand="1"/>
      </w:tblPr>
      <w:tblGrid>
        <w:gridCol w:w="7436"/>
        <w:gridCol w:w="983"/>
        <w:gridCol w:w="983"/>
      </w:tblGrid>
      <w:tr w:rsidR="00E50894" w:rsidRPr="00E50894" w14:paraId="5A0CC3B8" w14:textId="77777777" w:rsidTr="00E50894">
        <w:trPr>
          <w:trHeight w:val="312"/>
        </w:trPr>
        <w:tc>
          <w:tcPr>
            <w:tcW w:w="7436" w:type="dxa"/>
            <w:vMerge w:val="restart"/>
            <w:tcBorders>
              <w:top w:val="single" w:sz="12" w:space="0" w:color="95B3D7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365F91"/>
            <w:vAlign w:val="center"/>
            <w:hideMark/>
          </w:tcPr>
          <w:p w14:paraId="35AC5F37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0894">
              <w:rPr>
                <w:rFonts w:ascii="Calibri" w:eastAsia="Times New Roman" w:hAnsi="Calibri" w:cs="Calibri"/>
                <w:b/>
                <w:bCs/>
                <w:color w:val="FFFFFF"/>
              </w:rPr>
              <w:t>Service Category</w:t>
            </w:r>
          </w:p>
        </w:tc>
        <w:tc>
          <w:tcPr>
            <w:tcW w:w="1966" w:type="dxa"/>
            <w:gridSpan w:val="2"/>
            <w:tcBorders>
              <w:top w:val="single" w:sz="12" w:space="0" w:color="95B3D7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365F91"/>
            <w:noWrap/>
            <w:vAlign w:val="center"/>
            <w:hideMark/>
          </w:tcPr>
          <w:p w14:paraId="30CD9653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0894">
              <w:rPr>
                <w:rFonts w:ascii="Calibri" w:eastAsia="Times New Roman" w:hAnsi="Calibri" w:cs="Calibri"/>
                <w:b/>
                <w:bCs/>
                <w:color w:val="FFFFFF"/>
              </w:rPr>
              <w:t>Codes Range</w:t>
            </w:r>
          </w:p>
        </w:tc>
      </w:tr>
      <w:tr w:rsidR="00E50894" w:rsidRPr="00E50894" w14:paraId="1E2AD309" w14:textId="77777777" w:rsidTr="00BB526B">
        <w:trPr>
          <w:trHeight w:val="87"/>
        </w:trPr>
        <w:tc>
          <w:tcPr>
            <w:tcW w:w="7436" w:type="dxa"/>
            <w:vMerge/>
            <w:tcBorders>
              <w:top w:val="single" w:sz="12" w:space="0" w:color="95B3D7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vAlign w:val="center"/>
            <w:hideMark/>
          </w:tcPr>
          <w:p w14:paraId="36BD5451" w14:textId="77777777" w:rsidR="00E50894" w:rsidRPr="00E50894" w:rsidRDefault="00E50894" w:rsidP="00E508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365F91"/>
            <w:noWrap/>
            <w:vAlign w:val="center"/>
            <w:hideMark/>
          </w:tcPr>
          <w:p w14:paraId="1858858A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0894">
              <w:rPr>
                <w:rFonts w:ascii="Calibri" w:eastAsia="Times New Roman" w:hAnsi="Calibri" w:cs="Calibri"/>
                <w:b/>
                <w:bCs/>
                <w:color w:val="FFFFFF"/>
              </w:rPr>
              <w:t>From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365F91"/>
            <w:noWrap/>
            <w:vAlign w:val="center"/>
            <w:hideMark/>
          </w:tcPr>
          <w:p w14:paraId="1707B802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0894">
              <w:rPr>
                <w:rFonts w:ascii="Calibri" w:eastAsia="Times New Roman" w:hAnsi="Calibri" w:cs="Calibri"/>
                <w:b/>
                <w:bCs/>
                <w:color w:val="FFFFFF"/>
              </w:rPr>
              <w:t>To</w:t>
            </w:r>
          </w:p>
        </w:tc>
      </w:tr>
      <w:tr w:rsidR="00E50894" w:rsidRPr="00E50894" w14:paraId="3571B0B1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BEEBD7C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Evaluation and Management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0E8273F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99201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53676A0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99499</w:t>
            </w:r>
          </w:p>
        </w:tc>
      </w:tr>
      <w:tr w:rsidR="00E50894" w:rsidRPr="00E50894" w14:paraId="7272AD13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5944499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Psychiatry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4189AAC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90911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EF259FA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90899</w:t>
            </w:r>
          </w:p>
        </w:tc>
      </w:tr>
      <w:tr w:rsidR="00E50894" w:rsidRPr="00E50894" w14:paraId="10AE4018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466A944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Dialysis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17856D0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90935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0A763D8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90999</w:t>
            </w:r>
          </w:p>
        </w:tc>
      </w:tr>
      <w:tr w:rsidR="00E50894" w:rsidRPr="00E50894" w14:paraId="19AE29DA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7DD9E68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Gastroenterology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C12AC69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91010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36D0D90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91299</w:t>
            </w:r>
          </w:p>
        </w:tc>
      </w:tr>
      <w:tr w:rsidR="00E50894" w:rsidRPr="00E50894" w14:paraId="38413FD3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988502F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Ophthalmology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D78F990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92002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50ABEA9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92499</w:t>
            </w:r>
          </w:p>
        </w:tc>
      </w:tr>
      <w:tr w:rsidR="00E50894" w:rsidRPr="00E50894" w14:paraId="4B85ECE0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A3A40D1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Special Otorhinolaryngologic Services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7D5707C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92502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24927BB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92700</w:t>
            </w:r>
          </w:p>
        </w:tc>
      </w:tr>
      <w:tr w:rsidR="00E50894" w:rsidRPr="00E50894" w14:paraId="6C9CF46B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BDD3334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Cardiovascular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0023CF7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92920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0E998F0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93799</w:t>
            </w:r>
          </w:p>
        </w:tc>
      </w:tr>
      <w:tr w:rsidR="00E50894" w:rsidRPr="00E50894" w14:paraId="17098DFB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C59A6C7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Non-invasive Vascular Diagnostic Studies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6600E82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93880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E1998D8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93998</w:t>
            </w:r>
          </w:p>
        </w:tc>
      </w:tr>
      <w:tr w:rsidR="00E50894" w:rsidRPr="00E50894" w14:paraId="1565EE52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498A528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Pulmonary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F04DA9A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94002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8433571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94799</w:t>
            </w:r>
          </w:p>
        </w:tc>
      </w:tr>
      <w:tr w:rsidR="00E50894" w:rsidRPr="00E50894" w14:paraId="2DE79D0D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2747119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Allergy &amp; Clinical Immunology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8236D20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95004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21E4271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95199</w:t>
            </w:r>
          </w:p>
        </w:tc>
      </w:tr>
      <w:tr w:rsidR="00E50894" w:rsidRPr="00E50894" w14:paraId="752B4D7E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980D7D0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Endocrinology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EE4031B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95250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C57F3A9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95251</w:t>
            </w:r>
          </w:p>
        </w:tc>
      </w:tr>
      <w:tr w:rsidR="00E50894" w:rsidRPr="00E50894" w14:paraId="1585CFCE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948D655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Neurology &amp; Neuromuscular Procedures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A534297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95782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72E47D1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96020</w:t>
            </w:r>
          </w:p>
        </w:tc>
      </w:tr>
      <w:tr w:rsidR="00E50894" w:rsidRPr="00E50894" w14:paraId="4B1D43FD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981D220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Medical Genetics and Genetic Counseling Services</w:t>
            </w:r>
          </w:p>
        </w:tc>
        <w:tc>
          <w:tcPr>
            <w:tcW w:w="1966" w:type="dxa"/>
            <w:gridSpan w:val="2"/>
            <w:tcBorders>
              <w:top w:val="single" w:sz="12" w:space="0" w:color="95B3D7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466E99F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96040</w:t>
            </w:r>
          </w:p>
        </w:tc>
      </w:tr>
      <w:tr w:rsidR="00E50894" w:rsidRPr="00E50894" w14:paraId="433CA778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CC628D6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 xml:space="preserve">Central Nervous System Assessments/Tests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919711C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96101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0151113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96127</w:t>
            </w:r>
          </w:p>
        </w:tc>
      </w:tr>
      <w:tr w:rsidR="00E50894" w:rsidRPr="00E50894" w14:paraId="1E03E4CD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8F18ED3" w14:textId="49ADBA78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 xml:space="preserve">Health &amp; </w:t>
            </w:r>
            <w:r w:rsidRPr="00BB526B">
              <w:rPr>
                <w:rFonts w:eastAsia="Times New Roman" w:cstheme="minorHAnsi"/>
                <w:color w:val="000000"/>
              </w:rPr>
              <w:t>Behavior</w:t>
            </w:r>
            <w:r w:rsidRPr="00E50894">
              <w:rPr>
                <w:rFonts w:eastAsia="Times New Roman" w:cstheme="minorHAnsi"/>
                <w:color w:val="000000"/>
              </w:rPr>
              <w:t xml:space="preserve"> Assessment/Intervention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600E8CE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5BEFEA7F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96161</w:t>
            </w:r>
          </w:p>
        </w:tc>
      </w:tr>
      <w:tr w:rsidR="00E50894" w:rsidRPr="00E50894" w14:paraId="676444EE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66D5E13" w14:textId="7916AA61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 xml:space="preserve">Hydration, Therapeutic, </w:t>
            </w:r>
            <w:r w:rsidRPr="00BB526B">
              <w:rPr>
                <w:rFonts w:eastAsia="Times New Roman" w:cstheme="minorHAnsi"/>
                <w:color w:val="000000"/>
              </w:rPr>
              <w:t>Prophylactic</w:t>
            </w:r>
            <w:r w:rsidRPr="00E50894">
              <w:rPr>
                <w:rFonts w:eastAsia="Times New Roman" w:cstheme="minorHAnsi"/>
                <w:color w:val="000000"/>
              </w:rPr>
              <w:t>,</w:t>
            </w:r>
            <w:r w:rsidRPr="00BB526B">
              <w:rPr>
                <w:rFonts w:eastAsia="Times New Roman" w:cstheme="minorHAnsi"/>
                <w:color w:val="000000"/>
              </w:rPr>
              <w:t xml:space="preserve"> </w:t>
            </w:r>
            <w:r w:rsidRPr="00E50894">
              <w:rPr>
                <w:rFonts w:eastAsia="Times New Roman" w:cstheme="minorHAnsi"/>
                <w:color w:val="000000"/>
              </w:rPr>
              <w:t>injections &amp; Infusions, and Chemotherapy</w:t>
            </w:r>
            <w:r w:rsidRPr="00BB526B">
              <w:rPr>
                <w:rFonts w:eastAsia="Times New Roman" w:cstheme="minorHAnsi"/>
                <w:color w:val="000000"/>
              </w:rPr>
              <w:t xml:space="preserve"> </w:t>
            </w:r>
            <w:r w:rsidRPr="00E50894">
              <w:rPr>
                <w:rFonts w:eastAsia="Times New Roman" w:cstheme="minorHAnsi"/>
                <w:color w:val="000000"/>
              </w:rPr>
              <w:t>and other Administration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CBEAAF5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96360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9B171B7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96549</w:t>
            </w:r>
          </w:p>
        </w:tc>
      </w:tr>
      <w:tr w:rsidR="00E50894" w:rsidRPr="00E50894" w14:paraId="3160CBCC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CB55B4C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Photodynamic Therapy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47C1740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96567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794C545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96574</w:t>
            </w:r>
          </w:p>
        </w:tc>
      </w:tr>
      <w:tr w:rsidR="00E50894" w:rsidRPr="00E50894" w14:paraId="3A4601D0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97721E1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Special Dermatological Procedures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A5BAD9A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A1F9FE5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96999</w:t>
            </w:r>
          </w:p>
        </w:tc>
      </w:tr>
      <w:tr w:rsidR="00E50894" w:rsidRPr="00E50894" w14:paraId="310EF4A5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AC05870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Physical Medicine &amp; Rehabilitation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00D8C4B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97161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2CBD74A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97799</w:t>
            </w:r>
          </w:p>
        </w:tc>
      </w:tr>
      <w:tr w:rsidR="00E50894" w:rsidRPr="00E50894" w14:paraId="6D713214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5CC31B7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Medical Nutrition Therapy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59BEFCE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97802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A4B7FC2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97804</w:t>
            </w:r>
          </w:p>
        </w:tc>
      </w:tr>
      <w:tr w:rsidR="00E50894" w:rsidRPr="00E50894" w14:paraId="017E95D4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A9B2C18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Acupuncture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DF74DE4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97810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373EE02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97814</w:t>
            </w:r>
          </w:p>
        </w:tc>
      </w:tr>
      <w:tr w:rsidR="00E50894" w:rsidRPr="00E50894" w14:paraId="69824CD2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04683FC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Osteopathic Manipulative Treatment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C424D90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98925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6A66BCB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98929</w:t>
            </w:r>
          </w:p>
        </w:tc>
      </w:tr>
      <w:tr w:rsidR="00E50894" w:rsidRPr="00E50894" w14:paraId="75704C4E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6C9FAB7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Chiropractic Manipulative Treatment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DA423EF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98940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D035F6B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98943</w:t>
            </w:r>
          </w:p>
        </w:tc>
      </w:tr>
      <w:tr w:rsidR="00E50894" w:rsidRPr="00E50894" w14:paraId="030FAA09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02C54A1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Education and Training for Patient self- Management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FB78DE9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98960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FCC135C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98962</w:t>
            </w:r>
          </w:p>
        </w:tc>
      </w:tr>
      <w:tr w:rsidR="00E50894" w:rsidRPr="00E50894" w14:paraId="13A84558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AFAC742" w14:textId="10CE72C2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 xml:space="preserve">Non-Face-to-Face </w:t>
            </w:r>
            <w:r w:rsidRPr="00BB526B">
              <w:rPr>
                <w:rFonts w:eastAsia="Times New Roman" w:cstheme="minorHAnsi"/>
                <w:color w:val="000000"/>
              </w:rPr>
              <w:t>Nonphysician</w:t>
            </w:r>
            <w:r w:rsidRPr="00E50894">
              <w:rPr>
                <w:rFonts w:eastAsia="Times New Roman" w:cstheme="minorHAnsi"/>
                <w:color w:val="000000"/>
              </w:rPr>
              <w:t xml:space="preserve"> Services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51BAD3FE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98966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7639DC5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98969</w:t>
            </w:r>
          </w:p>
        </w:tc>
      </w:tr>
      <w:tr w:rsidR="00E50894" w:rsidRPr="00E50894" w14:paraId="51C9AAEA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978EBFA" w14:textId="56D476CB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 xml:space="preserve">Special services, </w:t>
            </w:r>
            <w:r w:rsidR="00D172FB" w:rsidRPr="00E50894">
              <w:rPr>
                <w:rFonts w:eastAsia="Times New Roman" w:cstheme="minorHAnsi"/>
                <w:color w:val="000000"/>
              </w:rPr>
              <w:t>procedures,</w:t>
            </w:r>
            <w:r w:rsidRPr="00E50894">
              <w:rPr>
                <w:rFonts w:eastAsia="Times New Roman" w:cstheme="minorHAnsi"/>
                <w:color w:val="000000"/>
              </w:rPr>
              <w:t xml:space="preserve"> and Reports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F01B9B2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03DE6BD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99091</w:t>
            </w:r>
          </w:p>
        </w:tc>
      </w:tr>
      <w:tr w:rsidR="00E50894" w:rsidRPr="00E50894" w14:paraId="3D601472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0AEAD12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Qualifying Circumstances for Anesthesia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832721F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250B5EE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99140</w:t>
            </w:r>
          </w:p>
        </w:tc>
      </w:tr>
      <w:tr w:rsidR="00E50894" w:rsidRPr="00E50894" w14:paraId="1E4A58FA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9FD40F7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Moderate (Conscious) Sedation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3B21E9E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99151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34D79E7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99157</w:t>
            </w:r>
          </w:p>
        </w:tc>
      </w:tr>
      <w:tr w:rsidR="00E50894" w:rsidRPr="00E50894" w14:paraId="203B0DAB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544424B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Other Services and Procedures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6AFF80F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99170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7CC35DB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99199</w:t>
            </w:r>
          </w:p>
        </w:tc>
      </w:tr>
      <w:tr w:rsidR="00E50894" w:rsidRPr="00E50894" w14:paraId="7441DFCD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4881D4F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Home Health Procedures/ Services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4D91E6A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870A39F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99602</w:t>
            </w:r>
          </w:p>
        </w:tc>
      </w:tr>
      <w:tr w:rsidR="00E50894" w:rsidRPr="00E50894" w14:paraId="11B0E298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E33C1E5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Medication Therapy Management Services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2A242EF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99605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5EEB55F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99607</w:t>
            </w:r>
          </w:p>
        </w:tc>
      </w:tr>
      <w:tr w:rsidR="00E50894" w:rsidRPr="00E50894" w14:paraId="22D78687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9F195F8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Immunization Administration for Vaccines/Toxoids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4132023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90460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CC4BEC5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90474</w:t>
            </w:r>
          </w:p>
        </w:tc>
      </w:tr>
      <w:tr w:rsidR="00E50894" w:rsidRPr="00E50894" w14:paraId="51FB19E7" w14:textId="77777777" w:rsidTr="00BB526B">
        <w:trPr>
          <w:trHeight w:val="144"/>
        </w:trPr>
        <w:tc>
          <w:tcPr>
            <w:tcW w:w="7436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1509F5E" w14:textId="77777777" w:rsidR="00E50894" w:rsidRPr="00E50894" w:rsidRDefault="00E50894" w:rsidP="00E5089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Biofeedback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CFEA713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90901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05C5A25" w14:textId="77777777" w:rsidR="00E50894" w:rsidRPr="00E50894" w:rsidRDefault="00E50894" w:rsidP="00E50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E50894">
              <w:rPr>
                <w:rFonts w:eastAsia="Times New Roman" w:cstheme="minorHAnsi"/>
                <w:color w:val="000000"/>
              </w:rPr>
              <w:t>90911</w:t>
            </w:r>
          </w:p>
        </w:tc>
      </w:tr>
    </w:tbl>
    <w:p w14:paraId="5DCC2765" w14:textId="7C102BA6" w:rsidR="00E50894" w:rsidRDefault="00E50894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p w14:paraId="28E1E87D" w14:textId="7DA0BC81" w:rsidR="00E50894" w:rsidRDefault="00E50894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p w14:paraId="1A6C8A71" w14:textId="77777777" w:rsidR="00E50894" w:rsidRPr="00414046" w:rsidRDefault="00E50894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p w14:paraId="1079767A" w14:textId="59DD8056" w:rsidR="00E50894" w:rsidRDefault="00E50894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p w14:paraId="3EF275A9" w14:textId="77777777" w:rsidR="00E50894" w:rsidRDefault="00E50894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tbl>
      <w:tblPr>
        <w:tblW w:w="9296" w:type="dxa"/>
        <w:tblInd w:w="597" w:type="dxa"/>
        <w:tblLook w:val="04A0" w:firstRow="1" w:lastRow="0" w:firstColumn="1" w:lastColumn="0" w:noHBand="0" w:noVBand="1"/>
      </w:tblPr>
      <w:tblGrid>
        <w:gridCol w:w="4665"/>
        <w:gridCol w:w="2015"/>
        <w:gridCol w:w="2616"/>
      </w:tblGrid>
      <w:tr w:rsidR="00BF7333" w:rsidRPr="00BF7333" w14:paraId="20494409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C2E6C11" w14:textId="77777777" w:rsidR="00BF7333" w:rsidRPr="00BF7333" w:rsidRDefault="00BF7333" w:rsidP="00BF7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Anaesthesia </w:t>
            </w:r>
          </w:p>
        </w:tc>
        <w:tc>
          <w:tcPr>
            <w:tcW w:w="4631" w:type="dxa"/>
            <w:gridSpan w:val="2"/>
            <w:tcBorders>
              <w:top w:val="single" w:sz="12" w:space="0" w:color="95B3D7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BF4901B" w14:textId="77777777" w:rsidR="00BF7333" w:rsidRPr="00BF7333" w:rsidRDefault="00BF7333" w:rsidP="00BF7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 00100-01999; 99100-99157</w:t>
            </w:r>
          </w:p>
        </w:tc>
      </w:tr>
      <w:tr w:rsidR="00BF7333" w:rsidRPr="00BF7333" w14:paraId="045CBC46" w14:textId="77777777" w:rsidTr="008C2C88">
        <w:trPr>
          <w:trHeight w:val="43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4174B1"/>
            <w:noWrap/>
            <w:vAlign w:val="center"/>
            <w:hideMark/>
          </w:tcPr>
          <w:p w14:paraId="35C3DA39" w14:textId="77777777" w:rsidR="00BF7333" w:rsidRPr="00BF7333" w:rsidRDefault="00BF7333" w:rsidP="00BF7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F7333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Surgery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4174B1"/>
            <w:noWrap/>
            <w:vAlign w:val="center"/>
            <w:hideMark/>
          </w:tcPr>
          <w:p w14:paraId="35978517" w14:textId="77777777" w:rsidR="00BF7333" w:rsidRPr="00BF7333" w:rsidRDefault="00BF7333" w:rsidP="0070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F733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10021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4174B1"/>
            <w:noWrap/>
            <w:vAlign w:val="center"/>
            <w:hideMark/>
          </w:tcPr>
          <w:p w14:paraId="10D988AB" w14:textId="77777777" w:rsidR="00BF7333" w:rsidRPr="00BF7333" w:rsidRDefault="00BF7333" w:rsidP="0070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F733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69990</w:t>
            </w:r>
          </w:p>
        </w:tc>
      </w:tr>
      <w:tr w:rsidR="00BF7333" w:rsidRPr="00BF7333" w14:paraId="52D157AB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4AF8D16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General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DC48606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10021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7563F90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10022</w:t>
            </w:r>
          </w:p>
        </w:tc>
      </w:tr>
      <w:tr w:rsidR="00BF7333" w:rsidRPr="00BF7333" w14:paraId="15E771A5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41D2B97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Integumentary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E1E0BFC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10030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51BE8B00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19499</w:t>
            </w:r>
          </w:p>
        </w:tc>
      </w:tr>
      <w:tr w:rsidR="00BF7333" w:rsidRPr="00BF7333" w14:paraId="5748CE5D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AFF76F8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Musculoskeletal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583F27D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20005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1FAA2EB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29999</w:t>
            </w:r>
          </w:p>
        </w:tc>
      </w:tr>
      <w:tr w:rsidR="00BF7333" w:rsidRPr="00BF7333" w14:paraId="535B2AB8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F219A15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Respiratory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720D85D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30000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2196596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32999</w:t>
            </w:r>
          </w:p>
        </w:tc>
      </w:tr>
      <w:tr w:rsidR="00BF7333" w:rsidRPr="00BF7333" w14:paraId="0C0B095F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B82BF2A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Cardiovascular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1ECA4CC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33010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E7AE75F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37799</w:t>
            </w:r>
          </w:p>
        </w:tc>
      </w:tr>
      <w:tr w:rsidR="00BF7333" w:rsidRPr="00BF7333" w14:paraId="7055A3A7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E733D88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Hemic &amp; Lymphatic Systems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60C50D7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38100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186180D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38999</w:t>
            </w:r>
          </w:p>
        </w:tc>
      </w:tr>
      <w:tr w:rsidR="00BF7333" w:rsidRPr="00BF7333" w14:paraId="457F0449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0744451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Mediastinum &amp; Diaphragm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76D9AA3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39000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2D2366F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39599</w:t>
            </w:r>
          </w:p>
        </w:tc>
      </w:tr>
      <w:tr w:rsidR="00BF7333" w:rsidRPr="00BF7333" w14:paraId="3B69E93E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4D434B2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Digestive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BF651C7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40490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3AC1336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49999</w:t>
            </w:r>
          </w:p>
        </w:tc>
      </w:tr>
      <w:tr w:rsidR="00BF7333" w:rsidRPr="00BF7333" w14:paraId="45B18BDF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925B534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Urinary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6A5893E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50010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78F0B4D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53899</w:t>
            </w:r>
          </w:p>
        </w:tc>
      </w:tr>
      <w:tr w:rsidR="00BF7333" w:rsidRPr="00BF7333" w14:paraId="5A8100EC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74FD070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Male Genital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5BFC3E24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54000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6E8C2AB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55899</w:t>
            </w:r>
          </w:p>
        </w:tc>
      </w:tr>
      <w:tr w:rsidR="00BF7333" w:rsidRPr="00BF7333" w14:paraId="6A34FF71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20D3FAB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Reproductive System &amp; Intersex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150461B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55920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F9E627C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55980</w:t>
            </w:r>
          </w:p>
        </w:tc>
      </w:tr>
      <w:tr w:rsidR="00BF7333" w:rsidRPr="00BF7333" w14:paraId="3EE9E487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E388E6F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Female Genital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ABCFFE2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56405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FB1467D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58999</w:t>
            </w:r>
          </w:p>
        </w:tc>
      </w:tr>
      <w:tr w:rsidR="00BF7333" w:rsidRPr="00BF7333" w14:paraId="0F16C8AA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DF0F4F2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Maternity Care &amp; Delivery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FF1C2F5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59000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8D0D8B7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59899</w:t>
            </w:r>
          </w:p>
        </w:tc>
      </w:tr>
      <w:tr w:rsidR="00BF7333" w:rsidRPr="00BF7333" w14:paraId="4E6FA66F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81CCF9C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Endocrine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4559A2C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60000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3083F42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60699</w:t>
            </w:r>
          </w:p>
        </w:tc>
      </w:tr>
      <w:tr w:rsidR="00BF7333" w:rsidRPr="00BF7333" w14:paraId="1EE9C901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C50D9E6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Nervous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4C423C6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61000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39D26E3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64999</w:t>
            </w:r>
          </w:p>
        </w:tc>
      </w:tr>
      <w:tr w:rsidR="00BF7333" w:rsidRPr="00BF7333" w14:paraId="4CCF92B4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9D0EC7B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Eye &amp; Ocular Adnexa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F0CD83E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65091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AD086C9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68899</w:t>
            </w:r>
          </w:p>
        </w:tc>
      </w:tr>
      <w:tr w:rsidR="00BF7333" w:rsidRPr="00BF7333" w14:paraId="547BBE0C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23BDA62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Auditory System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D35B705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69000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0BB175A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69979</w:t>
            </w:r>
          </w:p>
        </w:tc>
      </w:tr>
      <w:tr w:rsidR="00BF7333" w:rsidRPr="00BF7333" w14:paraId="1B054B95" w14:textId="77777777" w:rsidTr="008C2C88">
        <w:trPr>
          <w:trHeight w:val="501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4174B1"/>
            <w:noWrap/>
            <w:vAlign w:val="center"/>
            <w:hideMark/>
          </w:tcPr>
          <w:p w14:paraId="1E938DD4" w14:textId="77777777" w:rsidR="00BF7333" w:rsidRPr="00BF7333" w:rsidRDefault="00BF7333" w:rsidP="00BF7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/>
              </w:rPr>
            </w:pPr>
            <w:r w:rsidRPr="00BF733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/>
              </w:rPr>
              <w:t>Radiology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4174B1"/>
            <w:noWrap/>
            <w:vAlign w:val="center"/>
            <w:hideMark/>
          </w:tcPr>
          <w:p w14:paraId="1DB4B559" w14:textId="77777777" w:rsidR="00BF7333" w:rsidRPr="00BF7333" w:rsidRDefault="00BF7333" w:rsidP="00BF7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/>
              </w:rPr>
            </w:pPr>
            <w:r w:rsidRPr="00BF733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/>
              </w:rPr>
              <w:t>70010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4174B1"/>
            <w:noWrap/>
            <w:vAlign w:val="center"/>
            <w:hideMark/>
          </w:tcPr>
          <w:p w14:paraId="389DDBC8" w14:textId="77777777" w:rsidR="00BF7333" w:rsidRPr="00BF7333" w:rsidRDefault="00BF7333" w:rsidP="00BF7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/>
              </w:rPr>
            </w:pPr>
            <w:r w:rsidRPr="00BF733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GB"/>
              </w:rPr>
              <w:t>79999</w:t>
            </w:r>
          </w:p>
        </w:tc>
      </w:tr>
      <w:tr w:rsidR="00BF7333" w:rsidRPr="00BF7333" w14:paraId="6033150D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5314CAD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Diagnostic Imaging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F574F81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70010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391ECB8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76499</w:t>
            </w:r>
          </w:p>
        </w:tc>
      </w:tr>
      <w:tr w:rsidR="00BF7333" w:rsidRPr="00BF7333" w14:paraId="4C3A83E4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2BB7522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Diagnostic Ultrasound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C8951ED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76506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B18A9E6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76999</w:t>
            </w:r>
          </w:p>
        </w:tc>
      </w:tr>
      <w:tr w:rsidR="00BF7333" w:rsidRPr="00BF7333" w14:paraId="7F51B352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BE2A987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Radiologic Guidance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18E88DE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77001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4258AFC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77022</w:t>
            </w:r>
          </w:p>
        </w:tc>
      </w:tr>
      <w:tr w:rsidR="00BF7333" w:rsidRPr="00BF7333" w14:paraId="1F143AE1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C593F74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Breast Mammography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6E45049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77053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FE8BFD5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77067</w:t>
            </w:r>
          </w:p>
        </w:tc>
      </w:tr>
      <w:tr w:rsidR="00BF7333" w:rsidRPr="00BF7333" w14:paraId="7169275E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6237DD0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Bone/Joint Studies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A9E779D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77071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C5FC72F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77086</w:t>
            </w:r>
          </w:p>
        </w:tc>
      </w:tr>
      <w:tr w:rsidR="00BF7333" w:rsidRPr="00BF7333" w14:paraId="781BAAAB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A18446C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Radiation Oncology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005C611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77261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88C440E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77799</w:t>
            </w:r>
          </w:p>
        </w:tc>
      </w:tr>
      <w:tr w:rsidR="00BF7333" w:rsidRPr="00BF7333" w14:paraId="269B01A3" w14:textId="77777777" w:rsidTr="008C2C88">
        <w:trPr>
          <w:trHeight w:val="307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586F5D4D" w14:textId="77777777" w:rsidR="00BF7333" w:rsidRPr="00BF7333" w:rsidRDefault="00BF7333" w:rsidP="00806D03">
            <w:pPr>
              <w:spacing w:before="60"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Nuclear Medicine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35B447D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78012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F5F505F" w14:textId="77777777" w:rsidR="00BF7333" w:rsidRPr="00BF7333" w:rsidRDefault="00BF7333" w:rsidP="00806D03">
            <w:pPr>
              <w:spacing w:before="6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79999</w:t>
            </w:r>
          </w:p>
        </w:tc>
      </w:tr>
    </w:tbl>
    <w:p w14:paraId="0AFFC828" w14:textId="43992C4F" w:rsidR="00BF7333" w:rsidRDefault="00BF7333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p w14:paraId="6645AEB6" w14:textId="1A4C580F" w:rsidR="008C2C88" w:rsidRDefault="008C2C88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p w14:paraId="40233018" w14:textId="20F8D1B3" w:rsidR="008C2C88" w:rsidRDefault="008C2C88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p w14:paraId="049196B9" w14:textId="77777777" w:rsidR="008C2C88" w:rsidRDefault="008C2C88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tbl>
      <w:tblPr>
        <w:tblW w:w="9345" w:type="dxa"/>
        <w:tblInd w:w="597" w:type="dxa"/>
        <w:tblLook w:val="04A0" w:firstRow="1" w:lastRow="0" w:firstColumn="1" w:lastColumn="0" w:noHBand="0" w:noVBand="1"/>
      </w:tblPr>
      <w:tblGrid>
        <w:gridCol w:w="4665"/>
        <w:gridCol w:w="2070"/>
        <w:gridCol w:w="2610"/>
      </w:tblGrid>
      <w:tr w:rsidR="00BF7333" w:rsidRPr="00BF7333" w14:paraId="6540348D" w14:textId="77777777" w:rsidTr="00BB526B">
        <w:trPr>
          <w:trHeight w:val="540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4174B1"/>
            <w:noWrap/>
            <w:vAlign w:val="center"/>
            <w:hideMark/>
          </w:tcPr>
          <w:p w14:paraId="7A54240D" w14:textId="77777777" w:rsidR="00BF7333" w:rsidRPr="00BF7333" w:rsidRDefault="00BF7333" w:rsidP="00BF73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F7333">
              <w:rPr>
                <w:rFonts w:ascii="Calibri" w:eastAsia="Times New Roman" w:hAnsi="Calibri" w:cs="Calibri"/>
                <w:b/>
                <w:bCs/>
                <w:color w:val="FFFFFF"/>
                <w:lang w:val="en-GB"/>
              </w:rPr>
              <w:t>Pathology &amp; Laboratory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4174B1"/>
            <w:noWrap/>
            <w:vAlign w:val="center"/>
            <w:hideMark/>
          </w:tcPr>
          <w:p w14:paraId="08F800DC" w14:textId="77777777" w:rsidR="00BF7333" w:rsidRPr="00BF7333" w:rsidRDefault="00BF7333" w:rsidP="00BF7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F733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80047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4174B1"/>
            <w:noWrap/>
            <w:vAlign w:val="center"/>
            <w:hideMark/>
          </w:tcPr>
          <w:p w14:paraId="2D45AE65" w14:textId="77777777" w:rsidR="00BF7333" w:rsidRPr="00BF7333" w:rsidRDefault="00BF7333" w:rsidP="00BF7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F733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89398</w:t>
            </w:r>
          </w:p>
        </w:tc>
      </w:tr>
      <w:tr w:rsidR="00BF7333" w:rsidRPr="00BF7333" w14:paraId="2608FEB2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B2CF995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Organ or Disease-Oriented Panels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76FCCB4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80047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570CEDBB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80081</w:t>
            </w:r>
          </w:p>
        </w:tc>
      </w:tr>
      <w:tr w:rsidR="00BF7333" w:rsidRPr="00BF7333" w14:paraId="6121887F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21FAB63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Drug Assay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3FEBBB2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80305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E73877C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80377</w:t>
            </w:r>
          </w:p>
        </w:tc>
      </w:tr>
      <w:tr w:rsidR="00BF7333" w:rsidRPr="00BF7333" w14:paraId="6DAFD361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5E7E5211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Therapeutic Drug Assays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F1F3F87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80150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5CD4E05A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80299</w:t>
            </w:r>
          </w:p>
        </w:tc>
      </w:tr>
      <w:tr w:rsidR="00BF7333" w:rsidRPr="00BF7333" w14:paraId="3303C280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D4D25A8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Evocative/Suppression Testing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3AA436B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80400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5E95237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80439</w:t>
            </w:r>
          </w:p>
        </w:tc>
      </w:tr>
      <w:tr w:rsidR="00BF7333" w:rsidRPr="00BF7333" w14:paraId="56FB80E7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2497D05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Consultations (Clinical Pathology)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84DFE76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80500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327BFF1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80502</w:t>
            </w:r>
          </w:p>
        </w:tc>
      </w:tr>
      <w:tr w:rsidR="00BF7333" w:rsidRPr="00BF7333" w14:paraId="75A41234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98CFD9B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Urinalysis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0E9D511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81000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59F91AB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81099</w:t>
            </w:r>
          </w:p>
        </w:tc>
      </w:tr>
      <w:tr w:rsidR="00BF7333" w:rsidRPr="00BF7333" w14:paraId="5467C448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25B4C5D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</w:rPr>
              <w:t>Molecular Pathology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38D6A91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</w:rPr>
              <w:t>81105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33E3444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</w:rPr>
              <w:t>81479</w:t>
            </w:r>
          </w:p>
        </w:tc>
      </w:tr>
      <w:tr w:rsidR="00BF7333" w:rsidRPr="00BF7333" w14:paraId="5EAD7F10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BE1E51C" w14:textId="6D4BFD9C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</w:rPr>
              <w:t>Genomic Sequencing Procedures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41F2CAE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</w:rPr>
              <w:t>81410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B01C9F5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</w:rPr>
              <w:t>81471</w:t>
            </w:r>
          </w:p>
        </w:tc>
      </w:tr>
      <w:tr w:rsidR="00BF7333" w:rsidRPr="00BF7333" w14:paraId="4B55CBDE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0F07875" w14:textId="523AA4AC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</w:rPr>
              <w:t>Multianalyte Assays with Algorithmic Analyses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6449ECB4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</w:rPr>
              <w:t>81490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30AAB2F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</w:rPr>
              <w:t>81599</w:t>
            </w:r>
          </w:p>
        </w:tc>
      </w:tr>
      <w:tr w:rsidR="00BF7333" w:rsidRPr="00BF7333" w14:paraId="7FDC5B28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57ADA6B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Chemistry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51A1263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82009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14403FCD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84999</w:t>
            </w:r>
          </w:p>
        </w:tc>
      </w:tr>
      <w:tr w:rsidR="00BF7333" w:rsidRPr="00BF7333" w14:paraId="6D84131E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3A21CDF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Haematology &amp; Coagulation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D3A5CEC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85002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30B8F46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85999</w:t>
            </w:r>
          </w:p>
        </w:tc>
      </w:tr>
      <w:tr w:rsidR="00BF7333" w:rsidRPr="00BF7333" w14:paraId="44A5CAA5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7EDE69EC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Immunology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592759A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86000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EB659F4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86849</w:t>
            </w:r>
          </w:p>
        </w:tc>
      </w:tr>
      <w:tr w:rsidR="00BF7333" w:rsidRPr="00BF7333" w14:paraId="6C2D7918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75BF016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Transfusion Medicine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D165529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86850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2CCDBF37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86999</w:t>
            </w:r>
          </w:p>
        </w:tc>
      </w:tr>
      <w:tr w:rsidR="00BF7333" w:rsidRPr="00BF7333" w14:paraId="06F3228D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78B7EF0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Microbiology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2D918259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87003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2425CE9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87999</w:t>
            </w:r>
          </w:p>
        </w:tc>
      </w:tr>
      <w:tr w:rsidR="00BF7333" w:rsidRPr="00BF7333" w14:paraId="42044D4D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38812EC6" w14:textId="57BC460E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Anatomic Pathology (Post-mortem)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4EEC3A92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88000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578FC84E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88099</w:t>
            </w:r>
          </w:p>
        </w:tc>
      </w:tr>
      <w:tr w:rsidR="00BF7333" w:rsidRPr="00BF7333" w14:paraId="2981EC04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A164B34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Cytopathology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44FE7A1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88104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875C7E2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88199</w:t>
            </w:r>
          </w:p>
        </w:tc>
      </w:tr>
      <w:tr w:rsidR="00BF7333" w:rsidRPr="00BF7333" w14:paraId="55091D7C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84810CB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Cytogenetic Studies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FB9368D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88230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F6EB455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88299</w:t>
            </w:r>
          </w:p>
        </w:tc>
      </w:tr>
      <w:tr w:rsidR="00BF7333" w:rsidRPr="00BF7333" w14:paraId="235BB256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9BCFA95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Surgical Pathology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41E60C7B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88300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3179A92B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88399</w:t>
            </w:r>
          </w:p>
        </w:tc>
      </w:tr>
      <w:tr w:rsidR="00BF7333" w:rsidRPr="00BF7333" w14:paraId="61A3E142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FD54D4F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In Vivo (Transcutaneous) Lab Procedures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05038ECB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88720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489B2F9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88749</w:t>
            </w:r>
          </w:p>
        </w:tc>
      </w:tr>
      <w:tr w:rsidR="00BF7333" w:rsidRPr="00BF7333" w14:paraId="0BB0BF96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670582E8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Other Procedures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597BE7A1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89049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000000" w:fill="B8CCE4"/>
            <w:noWrap/>
            <w:vAlign w:val="center"/>
            <w:hideMark/>
          </w:tcPr>
          <w:p w14:paraId="0171F42B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 w:eastAsia="en-GB"/>
              </w:rPr>
              <w:t>89240</w:t>
            </w:r>
          </w:p>
        </w:tc>
      </w:tr>
      <w:tr w:rsidR="00BF7333" w:rsidRPr="00BF7333" w14:paraId="299F3180" w14:textId="77777777" w:rsidTr="00BB526B">
        <w:trPr>
          <w:trHeight w:val="312"/>
        </w:trPr>
        <w:tc>
          <w:tcPr>
            <w:tcW w:w="4665" w:type="dxa"/>
            <w:tcBorders>
              <w:top w:val="nil"/>
              <w:left w:val="single" w:sz="12" w:space="0" w:color="95B3D7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16B2862F" w14:textId="77777777" w:rsidR="00BF7333" w:rsidRPr="00BF7333" w:rsidRDefault="00BF7333" w:rsidP="006A66CF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Reproductive Medicine Procedures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59D269E4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89250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95B3D7"/>
              <w:right w:val="single" w:sz="12" w:space="0" w:color="95B3D7"/>
            </w:tcBorders>
            <w:shd w:val="clear" w:color="auto" w:fill="auto"/>
            <w:noWrap/>
            <w:vAlign w:val="center"/>
            <w:hideMark/>
          </w:tcPr>
          <w:p w14:paraId="7835237C" w14:textId="77777777" w:rsidR="00BF7333" w:rsidRPr="00BF7333" w:rsidRDefault="00BF7333" w:rsidP="00E705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7333">
              <w:rPr>
                <w:rFonts w:ascii="Calibri" w:eastAsia="Times New Roman" w:hAnsi="Calibri" w:cs="Calibri"/>
                <w:color w:val="000000"/>
                <w:lang w:val="en-GB"/>
              </w:rPr>
              <w:t>89398</w:t>
            </w:r>
          </w:p>
        </w:tc>
      </w:tr>
    </w:tbl>
    <w:p w14:paraId="09DF18D3" w14:textId="59438C98" w:rsidR="00BF7333" w:rsidRPr="00BF7333" w:rsidRDefault="00BF7333" w:rsidP="00BF7333">
      <w:pPr>
        <w:spacing w:after="0" w:line="240" w:lineRule="auto"/>
        <w:jc w:val="both"/>
        <w:rPr>
          <w:rFonts w:cs="Calibri"/>
          <w:color w:val="17365D"/>
          <w:sz w:val="24"/>
          <w:szCs w:val="24"/>
        </w:rPr>
      </w:pPr>
    </w:p>
    <w:sectPr w:rsidR="00BF7333" w:rsidRPr="00BF7333" w:rsidSect="00991218">
      <w:headerReference w:type="default" r:id="rId14"/>
      <w:footerReference w:type="default" r:id="rId15"/>
      <w:pgSz w:w="12240" w:h="15840"/>
      <w:pgMar w:top="1440" w:right="1350" w:bottom="12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8F064" w14:textId="77777777" w:rsidR="00C704DF" w:rsidRDefault="00C704DF" w:rsidP="003E2D16">
      <w:pPr>
        <w:spacing w:after="0" w:line="240" w:lineRule="auto"/>
      </w:pPr>
      <w:r>
        <w:separator/>
      </w:r>
    </w:p>
  </w:endnote>
  <w:endnote w:type="continuationSeparator" w:id="0">
    <w:p w14:paraId="26139FE9" w14:textId="77777777" w:rsidR="00C704DF" w:rsidRDefault="00C704DF" w:rsidP="003E2D16">
      <w:pPr>
        <w:spacing w:after="0" w:line="240" w:lineRule="auto"/>
      </w:pPr>
      <w:r>
        <w:continuationSeparator/>
      </w:r>
    </w:p>
  </w:endnote>
  <w:endnote w:type="continuationNotice" w:id="1">
    <w:p w14:paraId="10578B88" w14:textId="77777777" w:rsidR="00C704DF" w:rsidRDefault="00C70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DejaVu Sans">
    <w:altName w:val="Arial"/>
    <w:charset w:val="00"/>
    <w:family w:val="swiss"/>
    <w:pitch w:val="variable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TTE43B60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7EAC" w14:textId="77777777" w:rsidR="004226AB" w:rsidRDefault="004226AB" w:rsidP="006F296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99C9AE" wp14:editId="47DAE0F7">
              <wp:simplePos x="0" y="0"/>
              <wp:positionH relativeFrom="page">
                <wp:posOffset>200025</wp:posOffset>
              </wp:positionH>
              <wp:positionV relativeFrom="line">
                <wp:posOffset>123825</wp:posOffset>
              </wp:positionV>
              <wp:extent cx="7366635" cy="313690"/>
              <wp:effectExtent l="0" t="0" r="5715" b="0"/>
              <wp:wrapTopAndBottom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13690"/>
                        <a:chOff x="321" y="14850"/>
                        <a:chExt cx="11601" cy="547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10207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Address"/>
                              <w:id w:val="1824775188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2F54BE2" w14:textId="77777777" w:rsidR="004226AB" w:rsidRPr="006F2963" w:rsidRDefault="004226AB" w:rsidP="00725986">
                                <w:pPr>
                                  <w:pStyle w:val="Footer"/>
                                </w:pPr>
                                <w:r>
                                  <w:t xml:space="preserve">Government Prices &amp;Product Benefits- Health System Financing </w:t>
                                </w:r>
                                <w:r w:rsidR="00725986">
                                  <w:t>Division</w:t>
                                </w:r>
                                <w:r>
                                  <w:t xml:space="preserve">             </w:t>
                                </w:r>
                              </w:p>
                            </w:sdtContent>
                          </w:sdt>
                          <w:p w14:paraId="076CE303" w14:textId="77777777" w:rsidR="004226AB" w:rsidRPr="00D8676B" w:rsidRDefault="004226AB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0581" y="14903"/>
                          <a:ext cx="1284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7562D" w14:textId="76C13B91" w:rsidR="004226AB" w:rsidRPr="00D8676B" w:rsidRDefault="004226AB" w:rsidP="006F2963">
                            <w:pPr>
                              <w:pStyle w:val="Footer"/>
                            </w:pPr>
                            <w:r w:rsidRPr="00D8676B"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15CBE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599C9AE" id="Group 2" o:spid="_x0000_s1026" style="position:absolute;margin-left:15.75pt;margin-top:9.75pt;width:580.05pt;height:24.7pt;z-index:25165824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">
              <v:rect id="Rectangle 3" o:spid="_x0000_s1027" style="position:absolute;left:374;top:14903;width:10207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" fillcolor="#d8d8d8 [2732]" stroked="f" strokecolor="#943634 [2405]">
                <v:textbox>
                  <w:txbxContent>
                    <w:sdt>
                      <w:sdtPr>
                        <w:alias w:val="Address"/>
                        <w:id w:val="1824775188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2F54BE2" w14:textId="77777777" w:rsidR="004226AB" w:rsidRPr="006F2963" w:rsidRDefault="004226AB" w:rsidP="00725986">
                          <w:pPr>
                            <w:pStyle w:val="Footer"/>
                          </w:pPr>
                          <w:r>
                            <w:t xml:space="preserve">Government Prices &amp;Product Benefits- Health System Financing </w:t>
                          </w:r>
                          <w:r w:rsidR="00725986">
                            <w:t>Division</w:t>
                          </w:r>
                          <w:r>
                            <w:t xml:space="preserve">             </w:t>
                          </w:r>
                        </w:p>
                      </w:sdtContent>
                    </w:sdt>
                    <w:p w14:paraId="076CE303" w14:textId="77777777" w:rsidR="004226AB" w:rsidRPr="00D8676B" w:rsidRDefault="004226AB">
                      <w:pPr>
                        <w:pStyle w:val="Header"/>
                      </w:pPr>
                    </w:p>
                  </w:txbxContent>
                </v:textbox>
              </v:rect>
              <v:rect id="Rectangle 4" o:spid="_x0000_s1028" style="position:absolute;left:10581;top:14903;width:12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" fillcolor="#d8d8d8 [2732]" stroked="f">
                <v:textbox>
                  <w:txbxContent>
                    <w:p w14:paraId="7A57562D" w14:textId="76C13B91" w:rsidR="004226AB" w:rsidRPr="00D8676B" w:rsidRDefault="004226AB" w:rsidP="006F2963">
                      <w:pPr>
                        <w:pStyle w:val="Footer"/>
                      </w:pPr>
                      <w:r w:rsidRPr="00D8676B"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15CBE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5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D56D" w14:textId="77777777" w:rsidR="00C704DF" w:rsidRDefault="00C704DF" w:rsidP="003E2D16">
      <w:pPr>
        <w:spacing w:after="0" w:line="240" w:lineRule="auto"/>
      </w:pPr>
      <w:r>
        <w:separator/>
      </w:r>
    </w:p>
  </w:footnote>
  <w:footnote w:type="continuationSeparator" w:id="0">
    <w:p w14:paraId="67C72986" w14:textId="77777777" w:rsidR="00C704DF" w:rsidRDefault="00C704DF" w:rsidP="003E2D16">
      <w:pPr>
        <w:spacing w:after="0" w:line="240" w:lineRule="auto"/>
      </w:pPr>
      <w:r>
        <w:continuationSeparator/>
      </w:r>
    </w:p>
  </w:footnote>
  <w:footnote w:type="continuationNotice" w:id="1">
    <w:p w14:paraId="7A1A0CEB" w14:textId="77777777" w:rsidR="00C704DF" w:rsidRDefault="00C70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4497D" w14:textId="0C93F047" w:rsidR="004226AB" w:rsidRPr="00285DD9" w:rsidRDefault="009A416F" w:rsidP="00285DD9">
    <w:pPr>
      <w:autoSpaceDE w:val="0"/>
      <w:autoSpaceDN w:val="0"/>
      <w:adjustRightInd w:val="0"/>
      <w:spacing w:after="0" w:line="240" w:lineRule="auto"/>
      <w:rPr>
        <w:rFonts w:ascii="TTE43B6098t00" w:hAnsi="TTE43B6098t00" w:cs="TTE43B6098t00"/>
        <w:color w:val="1F497D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418DF52" wp14:editId="793C33B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92480" cy="722630"/>
          <wp:effectExtent l="0" t="0" r="0" b="0"/>
          <wp:wrapTopAndBottom/>
          <wp:docPr id="6" name="Picture 6" descr="http://portal.haad.ae/Logos/DOH-CMYK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ortal.haad.ae/Logos/DOH-CMYK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98973FF"/>
    <w:multiLevelType w:val="hybridMultilevel"/>
    <w:tmpl w:val="A02E798C"/>
    <w:lvl w:ilvl="0" w:tplc="F216B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EB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6F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2F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0C0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CE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68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A1C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6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3433"/>
    <w:multiLevelType w:val="multilevel"/>
    <w:tmpl w:val="8C58A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2232" w:hanging="432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122BB0"/>
    <w:multiLevelType w:val="hybridMultilevel"/>
    <w:tmpl w:val="DB7491D0"/>
    <w:lvl w:ilvl="0" w:tplc="55506846">
      <w:start w:val="1"/>
      <w:numFmt w:val="decimal"/>
      <w:lvlText w:val="%1."/>
      <w:lvlJc w:val="left"/>
      <w:pPr>
        <w:ind w:left="483" w:hanging="405"/>
      </w:pPr>
      <w:rPr>
        <w:rFonts w:hint="default"/>
        <w:b/>
        <w:sz w:val="20"/>
        <w:szCs w:val="20"/>
      </w:rPr>
    </w:lvl>
    <w:lvl w:ilvl="1" w:tplc="390E47B8" w:tentative="1">
      <w:start w:val="1"/>
      <w:numFmt w:val="lowerLetter"/>
      <w:lvlText w:val="%2."/>
      <w:lvlJc w:val="left"/>
      <w:pPr>
        <w:ind w:left="1158" w:hanging="360"/>
      </w:pPr>
    </w:lvl>
    <w:lvl w:ilvl="2" w:tplc="CA7EBD8E" w:tentative="1">
      <w:start w:val="1"/>
      <w:numFmt w:val="lowerRoman"/>
      <w:lvlText w:val="%3."/>
      <w:lvlJc w:val="right"/>
      <w:pPr>
        <w:ind w:left="1878" w:hanging="180"/>
      </w:pPr>
    </w:lvl>
    <w:lvl w:ilvl="3" w:tplc="654A3066" w:tentative="1">
      <w:start w:val="1"/>
      <w:numFmt w:val="decimal"/>
      <w:lvlText w:val="%4."/>
      <w:lvlJc w:val="left"/>
      <w:pPr>
        <w:ind w:left="2598" w:hanging="360"/>
      </w:pPr>
    </w:lvl>
    <w:lvl w:ilvl="4" w:tplc="11EE329A" w:tentative="1">
      <w:start w:val="1"/>
      <w:numFmt w:val="lowerLetter"/>
      <w:lvlText w:val="%5."/>
      <w:lvlJc w:val="left"/>
      <w:pPr>
        <w:ind w:left="3318" w:hanging="360"/>
      </w:pPr>
    </w:lvl>
    <w:lvl w:ilvl="5" w:tplc="9A5C42A0" w:tentative="1">
      <w:start w:val="1"/>
      <w:numFmt w:val="lowerRoman"/>
      <w:lvlText w:val="%6."/>
      <w:lvlJc w:val="right"/>
      <w:pPr>
        <w:ind w:left="4038" w:hanging="180"/>
      </w:pPr>
    </w:lvl>
    <w:lvl w:ilvl="6" w:tplc="4790B3C0" w:tentative="1">
      <w:start w:val="1"/>
      <w:numFmt w:val="decimal"/>
      <w:lvlText w:val="%7."/>
      <w:lvlJc w:val="left"/>
      <w:pPr>
        <w:ind w:left="4758" w:hanging="360"/>
      </w:pPr>
    </w:lvl>
    <w:lvl w:ilvl="7" w:tplc="718C7DDA" w:tentative="1">
      <w:start w:val="1"/>
      <w:numFmt w:val="lowerLetter"/>
      <w:lvlText w:val="%8."/>
      <w:lvlJc w:val="left"/>
      <w:pPr>
        <w:ind w:left="5478" w:hanging="360"/>
      </w:pPr>
    </w:lvl>
    <w:lvl w:ilvl="8" w:tplc="9118E1E2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5A607064"/>
    <w:multiLevelType w:val="hybridMultilevel"/>
    <w:tmpl w:val="DEA6498E"/>
    <w:lvl w:ilvl="0" w:tplc="486A7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23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63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6A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2E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EC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A7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A85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66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40F36"/>
    <w:multiLevelType w:val="hybridMultilevel"/>
    <w:tmpl w:val="8DDCB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AB2F2C"/>
    <w:multiLevelType w:val="hybridMultilevel"/>
    <w:tmpl w:val="38FEBC14"/>
    <w:lvl w:ilvl="0" w:tplc="300459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77B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F512EA"/>
    <w:multiLevelType w:val="multilevel"/>
    <w:tmpl w:val="208AA34C"/>
    <w:name w:val="WW8Num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84627"/>
    <w:multiLevelType w:val="hybridMultilevel"/>
    <w:tmpl w:val="089CA286"/>
    <w:lvl w:ilvl="0" w:tplc="2DD23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2960FD"/>
    <w:multiLevelType w:val="hybridMultilevel"/>
    <w:tmpl w:val="760E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D3A47"/>
    <w:multiLevelType w:val="hybridMultilevel"/>
    <w:tmpl w:val="9D2872AC"/>
    <w:lvl w:ilvl="0" w:tplc="5300AB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19D43B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86A1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F043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52146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5488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26EB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0C3A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2C2F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BC1C00"/>
    <w:multiLevelType w:val="multilevel"/>
    <w:tmpl w:val="7816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8C66CC"/>
    <w:multiLevelType w:val="hybridMultilevel"/>
    <w:tmpl w:val="E57C5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84BC5"/>
    <w:multiLevelType w:val="hybridMultilevel"/>
    <w:tmpl w:val="BCA0C5AA"/>
    <w:lvl w:ilvl="0" w:tplc="C284D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087588">
      <w:start w:val="1"/>
      <w:numFmt w:val="lowerLetter"/>
      <w:lvlText w:val="%2."/>
      <w:lvlJc w:val="left"/>
      <w:pPr>
        <w:ind w:left="1440" w:hanging="360"/>
      </w:pPr>
    </w:lvl>
    <w:lvl w:ilvl="2" w:tplc="63926B0C" w:tentative="1">
      <w:start w:val="1"/>
      <w:numFmt w:val="lowerRoman"/>
      <w:lvlText w:val="%3."/>
      <w:lvlJc w:val="right"/>
      <w:pPr>
        <w:ind w:left="2160" w:hanging="180"/>
      </w:pPr>
    </w:lvl>
    <w:lvl w:ilvl="3" w:tplc="44062562" w:tentative="1">
      <w:start w:val="1"/>
      <w:numFmt w:val="decimal"/>
      <w:lvlText w:val="%4."/>
      <w:lvlJc w:val="left"/>
      <w:pPr>
        <w:ind w:left="2880" w:hanging="360"/>
      </w:pPr>
    </w:lvl>
    <w:lvl w:ilvl="4" w:tplc="76A8713C" w:tentative="1">
      <w:start w:val="1"/>
      <w:numFmt w:val="lowerLetter"/>
      <w:lvlText w:val="%5."/>
      <w:lvlJc w:val="left"/>
      <w:pPr>
        <w:ind w:left="3600" w:hanging="360"/>
      </w:pPr>
    </w:lvl>
    <w:lvl w:ilvl="5" w:tplc="80F24458" w:tentative="1">
      <w:start w:val="1"/>
      <w:numFmt w:val="lowerRoman"/>
      <w:lvlText w:val="%6."/>
      <w:lvlJc w:val="right"/>
      <w:pPr>
        <w:ind w:left="4320" w:hanging="180"/>
      </w:pPr>
    </w:lvl>
    <w:lvl w:ilvl="6" w:tplc="489287D0" w:tentative="1">
      <w:start w:val="1"/>
      <w:numFmt w:val="decimal"/>
      <w:lvlText w:val="%7."/>
      <w:lvlJc w:val="left"/>
      <w:pPr>
        <w:ind w:left="5040" w:hanging="360"/>
      </w:pPr>
    </w:lvl>
    <w:lvl w:ilvl="7" w:tplc="B7C20D9E" w:tentative="1">
      <w:start w:val="1"/>
      <w:numFmt w:val="lowerLetter"/>
      <w:lvlText w:val="%8."/>
      <w:lvlJc w:val="left"/>
      <w:pPr>
        <w:ind w:left="5760" w:hanging="360"/>
      </w:pPr>
    </w:lvl>
    <w:lvl w:ilvl="8" w:tplc="C71884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ocumentProtection w:edit="readOnly" w:enforcement="0"/>
  <w:defaultTabStop w:val="720"/>
  <w:drawingGridHorizontalSpacing w:val="108"/>
  <w:drawingGridVerticalSpacing w:val="181"/>
  <w:displayHorizontalDrawingGridEvery w:val="30"/>
  <w:displayVerticalDrawingGridEvery w:val="3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wM7MwNzEzM7I0MDJR0lEKTi0uzszPAykwrAUAwN4s7ywAAAA="/>
  </w:docVars>
  <w:rsids>
    <w:rsidRoot w:val="0069602A"/>
    <w:rsid w:val="000014E4"/>
    <w:rsid w:val="00002DD4"/>
    <w:rsid w:val="000050D2"/>
    <w:rsid w:val="00006A7F"/>
    <w:rsid w:val="00007A21"/>
    <w:rsid w:val="000102ED"/>
    <w:rsid w:val="0001091C"/>
    <w:rsid w:val="00011467"/>
    <w:rsid w:val="00012CC9"/>
    <w:rsid w:val="00015CBE"/>
    <w:rsid w:val="00016C3F"/>
    <w:rsid w:val="00016EE1"/>
    <w:rsid w:val="00016F4A"/>
    <w:rsid w:val="0002090C"/>
    <w:rsid w:val="00021D6B"/>
    <w:rsid w:val="000275FA"/>
    <w:rsid w:val="000304F3"/>
    <w:rsid w:val="00031B0F"/>
    <w:rsid w:val="0003460A"/>
    <w:rsid w:val="000346C8"/>
    <w:rsid w:val="00035377"/>
    <w:rsid w:val="000370BD"/>
    <w:rsid w:val="0003781B"/>
    <w:rsid w:val="00037D65"/>
    <w:rsid w:val="000407DF"/>
    <w:rsid w:val="0004211E"/>
    <w:rsid w:val="000436B1"/>
    <w:rsid w:val="00050E00"/>
    <w:rsid w:val="000536C1"/>
    <w:rsid w:val="00053AF1"/>
    <w:rsid w:val="00055866"/>
    <w:rsid w:val="0005638B"/>
    <w:rsid w:val="00057218"/>
    <w:rsid w:val="000603CD"/>
    <w:rsid w:val="000617A2"/>
    <w:rsid w:val="00061E08"/>
    <w:rsid w:val="00062725"/>
    <w:rsid w:val="00062776"/>
    <w:rsid w:val="00065002"/>
    <w:rsid w:val="00065C4F"/>
    <w:rsid w:val="0006747E"/>
    <w:rsid w:val="000729FC"/>
    <w:rsid w:val="000754E8"/>
    <w:rsid w:val="00076FC5"/>
    <w:rsid w:val="00081D62"/>
    <w:rsid w:val="00082E31"/>
    <w:rsid w:val="00086477"/>
    <w:rsid w:val="00086C8E"/>
    <w:rsid w:val="000914B9"/>
    <w:rsid w:val="00094C4A"/>
    <w:rsid w:val="00095A29"/>
    <w:rsid w:val="000976C1"/>
    <w:rsid w:val="00097D08"/>
    <w:rsid w:val="000A6A09"/>
    <w:rsid w:val="000A6E74"/>
    <w:rsid w:val="000B0293"/>
    <w:rsid w:val="000B13E3"/>
    <w:rsid w:val="000B4590"/>
    <w:rsid w:val="000C0E9F"/>
    <w:rsid w:val="000C1026"/>
    <w:rsid w:val="000C1D96"/>
    <w:rsid w:val="000C4304"/>
    <w:rsid w:val="000C77FF"/>
    <w:rsid w:val="000D347E"/>
    <w:rsid w:val="000D5BDB"/>
    <w:rsid w:val="000D68C7"/>
    <w:rsid w:val="000D691A"/>
    <w:rsid w:val="000D6BE0"/>
    <w:rsid w:val="000D7F09"/>
    <w:rsid w:val="000E224B"/>
    <w:rsid w:val="000E246F"/>
    <w:rsid w:val="000E2A39"/>
    <w:rsid w:val="000E42AA"/>
    <w:rsid w:val="000E4B7A"/>
    <w:rsid w:val="000E569F"/>
    <w:rsid w:val="000E68B4"/>
    <w:rsid w:val="000F73EC"/>
    <w:rsid w:val="000F7D4E"/>
    <w:rsid w:val="000F7FED"/>
    <w:rsid w:val="0010165B"/>
    <w:rsid w:val="0010208E"/>
    <w:rsid w:val="001023F8"/>
    <w:rsid w:val="0010413D"/>
    <w:rsid w:val="00105B99"/>
    <w:rsid w:val="00106E45"/>
    <w:rsid w:val="00107837"/>
    <w:rsid w:val="001132D9"/>
    <w:rsid w:val="001146D4"/>
    <w:rsid w:val="00114B9A"/>
    <w:rsid w:val="00115E9C"/>
    <w:rsid w:val="0011685C"/>
    <w:rsid w:val="00116D57"/>
    <w:rsid w:val="0012294B"/>
    <w:rsid w:val="00123BD6"/>
    <w:rsid w:val="00126CC6"/>
    <w:rsid w:val="001315C8"/>
    <w:rsid w:val="00132934"/>
    <w:rsid w:val="00132B73"/>
    <w:rsid w:val="00135A3C"/>
    <w:rsid w:val="00135F7C"/>
    <w:rsid w:val="001368A8"/>
    <w:rsid w:val="0013721B"/>
    <w:rsid w:val="001424CD"/>
    <w:rsid w:val="00143C04"/>
    <w:rsid w:val="00145370"/>
    <w:rsid w:val="001517B0"/>
    <w:rsid w:val="00151F53"/>
    <w:rsid w:val="00152D69"/>
    <w:rsid w:val="001540BC"/>
    <w:rsid w:val="0015573F"/>
    <w:rsid w:val="00157C25"/>
    <w:rsid w:val="0016279F"/>
    <w:rsid w:val="00163C93"/>
    <w:rsid w:val="001703E4"/>
    <w:rsid w:val="0017127A"/>
    <w:rsid w:val="00173B10"/>
    <w:rsid w:val="00175C12"/>
    <w:rsid w:val="00176925"/>
    <w:rsid w:val="00176FF8"/>
    <w:rsid w:val="001824D4"/>
    <w:rsid w:val="001831D9"/>
    <w:rsid w:val="00185A47"/>
    <w:rsid w:val="001951C6"/>
    <w:rsid w:val="001A49E1"/>
    <w:rsid w:val="001A4A50"/>
    <w:rsid w:val="001A5FCC"/>
    <w:rsid w:val="001A63D2"/>
    <w:rsid w:val="001A68D9"/>
    <w:rsid w:val="001A7B2D"/>
    <w:rsid w:val="001B4826"/>
    <w:rsid w:val="001B4A7D"/>
    <w:rsid w:val="001B6530"/>
    <w:rsid w:val="001B782D"/>
    <w:rsid w:val="001C0424"/>
    <w:rsid w:val="001C09DF"/>
    <w:rsid w:val="001C0F9A"/>
    <w:rsid w:val="001C3678"/>
    <w:rsid w:val="001C3909"/>
    <w:rsid w:val="001C7EB8"/>
    <w:rsid w:val="001D0E64"/>
    <w:rsid w:val="001D0F28"/>
    <w:rsid w:val="001D3CC4"/>
    <w:rsid w:val="001D4C45"/>
    <w:rsid w:val="001D595E"/>
    <w:rsid w:val="001D66AA"/>
    <w:rsid w:val="001D6FF7"/>
    <w:rsid w:val="001E2A63"/>
    <w:rsid w:val="001E4D36"/>
    <w:rsid w:val="001E518B"/>
    <w:rsid w:val="001E7566"/>
    <w:rsid w:val="001F0A6C"/>
    <w:rsid w:val="001F15EA"/>
    <w:rsid w:val="001F1BE3"/>
    <w:rsid w:val="001F368C"/>
    <w:rsid w:val="001F5F4B"/>
    <w:rsid w:val="002015B6"/>
    <w:rsid w:val="00201871"/>
    <w:rsid w:val="00202BA1"/>
    <w:rsid w:val="002047A1"/>
    <w:rsid w:val="00206526"/>
    <w:rsid w:val="0020660C"/>
    <w:rsid w:val="00207144"/>
    <w:rsid w:val="00211117"/>
    <w:rsid w:val="00213EDB"/>
    <w:rsid w:val="00216AC2"/>
    <w:rsid w:val="002200DF"/>
    <w:rsid w:val="00224ED6"/>
    <w:rsid w:val="00225E1C"/>
    <w:rsid w:val="00226B09"/>
    <w:rsid w:val="00227790"/>
    <w:rsid w:val="002278DE"/>
    <w:rsid w:val="002309B0"/>
    <w:rsid w:val="00232721"/>
    <w:rsid w:val="00233ED4"/>
    <w:rsid w:val="00237898"/>
    <w:rsid w:val="002404B2"/>
    <w:rsid w:val="0024066A"/>
    <w:rsid w:val="00241C56"/>
    <w:rsid w:val="0024385D"/>
    <w:rsid w:val="002438BB"/>
    <w:rsid w:val="00243A57"/>
    <w:rsid w:val="0025049D"/>
    <w:rsid w:val="00251C3B"/>
    <w:rsid w:val="00251DC1"/>
    <w:rsid w:val="00254C14"/>
    <w:rsid w:val="002621F4"/>
    <w:rsid w:val="00267A1B"/>
    <w:rsid w:val="00270D27"/>
    <w:rsid w:val="002715E2"/>
    <w:rsid w:val="002745CD"/>
    <w:rsid w:val="00274627"/>
    <w:rsid w:val="002747D1"/>
    <w:rsid w:val="0027799E"/>
    <w:rsid w:val="002807AC"/>
    <w:rsid w:val="00280CDD"/>
    <w:rsid w:val="00284848"/>
    <w:rsid w:val="00285DD9"/>
    <w:rsid w:val="00286D2C"/>
    <w:rsid w:val="00291177"/>
    <w:rsid w:val="002933DC"/>
    <w:rsid w:val="00293899"/>
    <w:rsid w:val="0029405A"/>
    <w:rsid w:val="00297054"/>
    <w:rsid w:val="002A1A31"/>
    <w:rsid w:val="002A2D5D"/>
    <w:rsid w:val="002A48CC"/>
    <w:rsid w:val="002A5863"/>
    <w:rsid w:val="002A70CA"/>
    <w:rsid w:val="002B1D2D"/>
    <w:rsid w:val="002B477E"/>
    <w:rsid w:val="002B4B67"/>
    <w:rsid w:val="002B5A30"/>
    <w:rsid w:val="002C0043"/>
    <w:rsid w:val="002C264E"/>
    <w:rsid w:val="002C2DF9"/>
    <w:rsid w:val="002C3930"/>
    <w:rsid w:val="002C45C9"/>
    <w:rsid w:val="002C7D12"/>
    <w:rsid w:val="002D253A"/>
    <w:rsid w:val="002D6273"/>
    <w:rsid w:val="002D77C2"/>
    <w:rsid w:val="002E6105"/>
    <w:rsid w:val="002F0544"/>
    <w:rsid w:val="002F0654"/>
    <w:rsid w:val="002F16B5"/>
    <w:rsid w:val="002F30D3"/>
    <w:rsid w:val="002F45FE"/>
    <w:rsid w:val="002F5086"/>
    <w:rsid w:val="002F5129"/>
    <w:rsid w:val="002F7135"/>
    <w:rsid w:val="002F7DB1"/>
    <w:rsid w:val="003009BC"/>
    <w:rsid w:val="0030197A"/>
    <w:rsid w:val="003039DB"/>
    <w:rsid w:val="00306194"/>
    <w:rsid w:val="00306711"/>
    <w:rsid w:val="003106B6"/>
    <w:rsid w:val="003136DE"/>
    <w:rsid w:val="0032185A"/>
    <w:rsid w:val="00322841"/>
    <w:rsid w:val="00322FB7"/>
    <w:rsid w:val="00325D46"/>
    <w:rsid w:val="00330600"/>
    <w:rsid w:val="003330CE"/>
    <w:rsid w:val="00333A43"/>
    <w:rsid w:val="00334556"/>
    <w:rsid w:val="0034081E"/>
    <w:rsid w:val="003438CF"/>
    <w:rsid w:val="003440B6"/>
    <w:rsid w:val="003462F8"/>
    <w:rsid w:val="0034732D"/>
    <w:rsid w:val="00351025"/>
    <w:rsid w:val="00351937"/>
    <w:rsid w:val="00352ECE"/>
    <w:rsid w:val="0035772F"/>
    <w:rsid w:val="00357B8E"/>
    <w:rsid w:val="003631F3"/>
    <w:rsid w:val="0036439A"/>
    <w:rsid w:val="00366F34"/>
    <w:rsid w:val="00366FCD"/>
    <w:rsid w:val="00370CFF"/>
    <w:rsid w:val="00371A4B"/>
    <w:rsid w:val="00374ECE"/>
    <w:rsid w:val="0037683F"/>
    <w:rsid w:val="00381AF6"/>
    <w:rsid w:val="00384F0E"/>
    <w:rsid w:val="003867A0"/>
    <w:rsid w:val="00386AED"/>
    <w:rsid w:val="0038790C"/>
    <w:rsid w:val="00394676"/>
    <w:rsid w:val="003960C6"/>
    <w:rsid w:val="0039618C"/>
    <w:rsid w:val="003A2656"/>
    <w:rsid w:val="003A2A1E"/>
    <w:rsid w:val="003A4B61"/>
    <w:rsid w:val="003A5168"/>
    <w:rsid w:val="003B16B6"/>
    <w:rsid w:val="003B4421"/>
    <w:rsid w:val="003B4A50"/>
    <w:rsid w:val="003B6243"/>
    <w:rsid w:val="003B7C0D"/>
    <w:rsid w:val="003C0085"/>
    <w:rsid w:val="003C0D73"/>
    <w:rsid w:val="003C29A9"/>
    <w:rsid w:val="003C7E31"/>
    <w:rsid w:val="003C7F19"/>
    <w:rsid w:val="003D4446"/>
    <w:rsid w:val="003D6561"/>
    <w:rsid w:val="003D7083"/>
    <w:rsid w:val="003E265F"/>
    <w:rsid w:val="003E2D16"/>
    <w:rsid w:val="003E3B0D"/>
    <w:rsid w:val="003E77F1"/>
    <w:rsid w:val="003F25ED"/>
    <w:rsid w:val="003F6F8E"/>
    <w:rsid w:val="004001E2"/>
    <w:rsid w:val="0040097A"/>
    <w:rsid w:val="0040167F"/>
    <w:rsid w:val="004022A5"/>
    <w:rsid w:val="00402B3B"/>
    <w:rsid w:val="004040F6"/>
    <w:rsid w:val="00404719"/>
    <w:rsid w:val="0040491B"/>
    <w:rsid w:val="00405086"/>
    <w:rsid w:val="00405B80"/>
    <w:rsid w:val="00411AA4"/>
    <w:rsid w:val="00414046"/>
    <w:rsid w:val="00415BC2"/>
    <w:rsid w:val="00415DF2"/>
    <w:rsid w:val="0042177C"/>
    <w:rsid w:val="004226AB"/>
    <w:rsid w:val="00424190"/>
    <w:rsid w:val="00427834"/>
    <w:rsid w:val="004301AF"/>
    <w:rsid w:val="0043061E"/>
    <w:rsid w:val="004308C0"/>
    <w:rsid w:val="004340BB"/>
    <w:rsid w:val="00435C7A"/>
    <w:rsid w:val="00435E4A"/>
    <w:rsid w:val="00437630"/>
    <w:rsid w:val="004411CF"/>
    <w:rsid w:val="0044206F"/>
    <w:rsid w:val="00443AE5"/>
    <w:rsid w:val="00445D03"/>
    <w:rsid w:val="00447513"/>
    <w:rsid w:val="00452EC6"/>
    <w:rsid w:val="00455D38"/>
    <w:rsid w:val="00456542"/>
    <w:rsid w:val="0045660F"/>
    <w:rsid w:val="00456F84"/>
    <w:rsid w:val="00457258"/>
    <w:rsid w:val="004574D5"/>
    <w:rsid w:val="004576F7"/>
    <w:rsid w:val="00460570"/>
    <w:rsid w:val="0046118D"/>
    <w:rsid w:val="00462519"/>
    <w:rsid w:val="004638F2"/>
    <w:rsid w:val="00464E28"/>
    <w:rsid w:val="0046615D"/>
    <w:rsid w:val="0046714E"/>
    <w:rsid w:val="00467422"/>
    <w:rsid w:val="004677D6"/>
    <w:rsid w:val="0047155E"/>
    <w:rsid w:val="00471BC1"/>
    <w:rsid w:val="00472037"/>
    <w:rsid w:val="00480180"/>
    <w:rsid w:val="00480393"/>
    <w:rsid w:val="00480B62"/>
    <w:rsid w:val="00482DF3"/>
    <w:rsid w:val="004864F7"/>
    <w:rsid w:val="00487FDA"/>
    <w:rsid w:val="00492EBC"/>
    <w:rsid w:val="004932E4"/>
    <w:rsid w:val="00493961"/>
    <w:rsid w:val="00495073"/>
    <w:rsid w:val="0049633E"/>
    <w:rsid w:val="00496E9C"/>
    <w:rsid w:val="004A1092"/>
    <w:rsid w:val="004A1F7F"/>
    <w:rsid w:val="004A43E6"/>
    <w:rsid w:val="004A6C00"/>
    <w:rsid w:val="004A7E13"/>
    <w:rsid w:val="004B17A3"/>
    <w:rsid w:val="004B4527"/>
    <w:rsid w:val="004B589D"/>
    <w:rsid w:val="004B7459"/>
    <w:rsid w:val="004C2BC4"/>
    <w:rsid w:val="004C3DE7"/>
    <w:rsid w:val="004D6390"/>
    <w:rsid w:val="004D6932"/>
    <w:rsid w:val="004D7847"/>
    <w:rsid w:val="004E23C0"/>
    <w:rsid w:val="004E2FC9"/>
    <w:rsid w:val="004E5AC4"/>
    <w:rsid w:val="004E6069"/>
    <w:rsid w:val="004E69AD"/>
    <w:rsid w:val="004E71DC"/>
    <w:rsid w:val="004E7AF7"/>
    <w:rsid w:val="004F09EA"/>
    <w:rsid w:val="004F0D0F"/>
    <w:rsid w:val="004F10D4"/>
    <w:rsid w:val="004F3834"/>
    <w:rsid w:val="004F454B"/>
    <w:rsid w:val="005009C0"/>
    <w:rsid w:val="0050171F"/>
    <w:rsid w:val="00503DAB"/>
    <w:rsid w:val="00506A2D"/>
    <w:rsid w:val="00506A9F"/>
    <w:rsid w:val="00507384"/>
    <w:rsid w:val="00510CEA"/>
    <w:rsid w:val="00510F66"/>
    <w:rsid w:val="00511147"/>
    <w:rsid w:val="0051229C"/>
    <w:rsid w:val="00513315"/>
    <w:rsid w:val="00513C8B"/>
    <w:rsid w:val="00514230"/>
    <w:rsid w:val="0051461A"/>
    <w:rsid w:val="00514BED"/>
    <w:rsid w:val="005153F3"/>
    <w:rsid w:val="00523393"/>
    <w:rsid w:val="005240B4"/>
    <w:rsid w:val="0053228C"/>
    <w:rsid w:val="005336C0"/>
    <w:rsid w:val="005348E3"/>
    <w:rsid w:val="00534931"/>
    <w:rsid w:val="005356FC"/>
    <w:rsid w:val="00535A7F"/>
    <w:rsid w:val="00535D67"/>
    <w:rsid w:val="0053605E"/>
    <w:rsid w:val="00541C9A"/>
    <w:rsid w:val="00542575"/>
    <w:rsid w:val="00542F31"/>
    <w:rsid w:val="005442D4"/>
    <w:rsid w:val="00545F1E"/>
    <w:rsid w:val="0054605A"/>
    <w:rsid w:val="0055210E"/>
    <w:rsid w:val="005532AF"/>
    <w:rsid w:val="0055370F"/>
    <w:rsid w:val="0055378D"/>
    <w:rsid w:val="00555214"/>
    <w:rsid w:val="00564C58"/>
    <w:rsid w:val="0057074E"/>
    <w:rsid w:val="005720AA"/>
    <w:rsid w:val="005728FE"/>
    <w:rsid w:val="00573DB8"/>
    <w:rsid w:val="00574A70"/>
    <w:rsid w:val="00574DEF"/>
    <w:rsid w:val="00577971"/>
    <w:rsid w:val="0058230F"/>
    <w:rsid w:val="00583393"/>
    <w:rsid w:val="00584D35"/>
    <w:rsid w:val="005902D1"/>
    <w:rsid w:val="00594AB6"/>
    <w:rsid w:val="00595160"/>
    <w:rsid w:val="00596BE0"/>
    <w:rsid w:val="005A019A"/>
    <w:rsid w:val="005A0B14"/>
    <w:rsid w:val="005A1A25"/>
    <w:rsid w:val="005A344E"/>
    <w:rsid w:val="005B1F6D"/>
    <w:rsid w:val="005B2E58"/>
    <w:rsid w:val="005B37A5"/>
    <w:rsid w:val="005B4659"/>
    <w:rsid w:val="005C3721"/>
    <w:rsid w:val="005C4881"/>
    <w:rsid w:val="005D09CD"/>
    <w:rsid w:val="005D15D8"/>
    <w:rsid w:val="005D5E22"/>
    <w:rsid w:val="005D5E7B"/>
    <w:rsid w:val="005E0D20"/>
    <w:rsid w:val="005E1A08"/>
    <w:rsid w:val="005E1EFF"/>
    <w:rsid w:val="005E464A"/>
    <w:rsid w:val="005E50A2"/>
    <w:rsid w:val="005F00CF"/>
    <w:rsid w:val="005F51D0"/>
    <w:rsid w:val="005F61D2"/>
    <w:rsid w:val="005F7218"/>
    <w:rsid w:val="00600B73"/>
    <w:rsid w:val="0060163E"/>
    <w:rsid w:val="00601CE7"/>
    <w:rsid w:val="00605630"/>
    <w:rsid w:val="00605B00"/>
    <w:rsid w:val="00606453"/>
    <w:rsid w:val="006067C8"/>
    <w:rsid w:val="00606E65"/>
    <w:rsid w:val="006129CE"/>
    <w:rsid w:val="00612ACB"/>
    <w:rsid w:val="0061401B"/>
    <w:rsid w:val="00614551"/>
    <w:rsid w:val="00624D94"/>
    <w:rsid w:val="00625107"/>
    <w:rsid w:val="00630029"/>
    <w:rsid w:val="00631B63"/>
    <w:rsid w:val="00632A35"/>
    <w:rsid w:val="00633C9E"/>
    <w:rsid w:val="006369AE"/>
    <w:rsid w:val="00637F86"/>
    <w:rsid w:val="006409D3"/>
    <w:rsid w:val="00641F06"/>
    <w:rsid w:val="00642595"/>
    <w:rsid w:val="00644ABC"/>
    <w:rsid w:val="006506A4"/>
    <w:rsid w:val="00652A95"/>
    <w:rsid w:val="00653AB7"/>
    <w:rsid w:val="00654CA7"/>
    <w:rsid w:val="00656213"/>
    <w:rsid w:val="006562EF"/>
    <w:rsid w:val="00656FFA"/>
    <w:rsid w:val="006574CE"/>
    <w:rsid w:val="00657FAF"/>
    <w:rsid w:val="00660527"/>
    <w:rsid w:val="00662B78"/>
    <w:rsid w:val="00663F33"/>
    <w:rsid w:val="00666023"/>
    <w:rsid w:val="006663D1"/>
    <w:rsid w:val="00667C9C"/>
    <w:rsid w:val="00673044"/>
    <w:rsid w:val="00676530"/>
    <w:rsid w:val="006804CA"/>
    <w:rsid w:val="00680800"/>
    <w:rsid w:val="00680F9C"/>
    <w:rsid w:val="00681529"/>
    <w:rsid w:val="006823A4"/>
    <w:rsid w:val="0068327F"/>
    <w:rsid w:val="00683473"/>
    <w:rsid w:val="00690623"/>
    <w:rsid w:val="00691249"/>
    <w:rsid w:val="006945AF"/>
    <w:rsid w:val="0069602A"/>
    <w:rsid w:val="006973C1"/>
    <w:rsid w:val="006A1529"/>
    <w:rsid w:val="006A36BA"/>
    <w:rsid w:val="006A55AD"/>
    <w:rsid w:val="006A66CF"/>
    <w:rsid w:val="006A7668"/>
    <w:rsid w:val="006B10E6"/>
    <w:rsid w:val="006B1981"/>
    <w:rsid w:val="006B251C"/>
    <w:rsid w:val="006B2530"/>
    <w:rsid w:val="006B4467"/>
    <w:rsid w:val="006B49ED"/>
    <w:rsid w:val="006B4BEF"/>
    <w:rsid w:val="006B5A02"/>
    <w:rsid w:val="006B5CB7"/>
    <w:rsid w:val="006B5D55"/>
    <w:rsid w:val="006C1E59"/>
    <w:rsid w:val="006C3527"/>
    <w:rsid w:val="006C5676"/>
    <w:rsid w:val="006C6EEE"/>
    <w:rsid w:val="006D16CE"/>
    <w:rsid w:val="006D2633"/>
    <w:rsid w:val="006D3E5A"/>
    <w:rsid w:val="006D437D"/>
    <w:rsid w:val="006D54F0"/>
    <w:rsid w:val="006D77DA"/>
    <w:rsid w:val="006E0E84"/>
    <w:rsid w:val="006E2139"/>
    <w:rsid w:val="006E29F4"/>
    <w:rsid w:val="006E50FB"/>
    <w:rsid w:val="006E5A3A"/>
    <w:rsid w:val="006F041A"/>
    <w:rsid w:val="006F2963"/>
    <w:rsid w:val="006F627A"/>
    <w:rsid w:val="006F679A"/>
    <w:rsid w:val="006F749E"/>
    <w:rsid w:val="0070100F"/>
    <w:rsid w:val="00704037"/>
    <w:rsid w:val="00704327"/>
    <w:rsid w:val="0070605D"/>
    <w:rsid w:val="0070703E"/>
    <w:rsid w:val="00710F76"/>
    <w:rsid w:val="00711306"/>
    <w:rsid w:val="00712093"/>
    <w:rsid w:val="0071454D"/>
    <w:rsid w:val="007209F3"/>
    <w:rsid w:val="00725986"/>
    <w:rsid w:val="00725E28"/>
    <w:rsid w:val="00726BDD"/>
    <w:rsid w:val="00730D06"/>
    <w:rsid w:val="007312DD"/>
    <w:rsid w:val="007351E6"/>
    <w:rsid w:val="00735B51"/>
    <w:rsid w:val="00735F55"/>
    <w:rsid w:val="00740A63"/>
    <w:rsid w:val="00745414"/>
    <w:rsid w:val="00745995"/>
    <w:rsid w:val="007475DF"/>
    <w:rsid w:val="00750D5C"/>
    <w:rsid w:val="00751431"/>
    <w:rsid w:val="00755979"/>
    <w:rsid w:val="00755A8A"/>
    <w:rsid w:val="00757805"/>
    <w:rsid w:val="007600BB"/>
    <w:rsid w:val="0076501C"/>
    <w:rsid w:val="0076690C"/>
    <w:rsid w:val="0076762E"/>
    <w:rsid w:val="007807BD"/>
    <w:rsid w:val="007819E6"/>
    <w:rsid w:val="00784200"/>
    <w:rsid w:val="00784B61"/>
    <w:rsid w:val="0078576B"/>
    <w:rsid w:val="0079006D"/>
    <w:rsid w:val="0079088B"/>
    <w:rsid w:val="00791AA1"/>
    <w:rsid w:val="00791B9A"/>
    <w:rsid w:val="0079553D"/>
    <w:rsid w:val="007A0797"/>
    <w:rsid w:val="007A1A4D"/>
    <w:rsid w:val="007A3B25"/>
    <w:rsid w:val="007A5DE6"/>
    <w:rsid w:val="007A608B"/>
    <w:rsid w:val="007B3977"/>
    <w:rsid w:val="007B3B44"/>
    <w:rsid w:val="007B4C9D"/>
    <w:rsid w:val="007B4F9E"/>
    <w:rsid w:val="007B6AE8"/>
    <w:rsid w:val="007C11FB"/>
    <w:rsid w:val="007C308B"/>
    <w:rsid w:val="007C406E"/>
    <w:rsid w:val="007C5CEE"/>
    <w:rsid w:val="007C60D1"/>
    <w:rsid w:val="007C6BFD"/>
    <w:rsid w:val="007D6222"/>
    <w:rsid w:val="007D65F8"/>
    <w:rsid w:val="007E5DAF"/>
    <w:rsid w:val="007F212F"/>
    <w:rsid w:val="007F3FE9"/>
    <w:rsid w:val="007F497E"/>
    <w:rsid w:val="007F6586"/>
    <w:rsid w:val="007F66B9"/>
    <w:rsid w:val="00803F59"/>
    <w:rsid w:val="00805D25"/>
    <w:rsid w:val="00806881"/>
    <w:rsid w:val="00806D03"/>
    <w:rsid w:val="00810DF4"/>
    <w:rsid w:val="00811787"/>
    <w:rsid w:val="00812988"/>
    <w:rsid w:val="0081424D"/>
    <w:rsid w:val="008164DF"/>
    <w:rsid w:val="00816917"/>
    <w:rsid w:val="00816E7A"/>
    <w:rsid w:val="00817079"/>
    <w:rsid w:val="00821C58"/>
    <w:rsid w:val="0083092C"/>
    <w:rsid w:val="00831A1E"/>
    <w:rsid w:val="00832E63"/>
    <w:rsid w:val="008351C7"/>
    <w:rsid w:val="00835BDF"/>
    <w:rsid w:val="00837AA3"/>
    <w:rsid w:val="008409FB"/>
    <w:rsid w:val="0084414A"/>
    <w:rsid w:val="00844226"/>
    <w:rsid w:val="00846292"/>
    <w:rsid w:val="00850FC1"/>
    <w:rsid w:val="00852FEA"/>
    <w:rsid w:val="0085545D"/>
    <w:rsid w:val="0085654C"/>
    <w:rsid w:val="0085666A"/>
    <w:rsid w:val="00856FF4"/>
    <w:rsid w:val="0086510C"/>
    <w:rsid w:val="00865571"/>
    <w:rsid w:val="00866EF8"/>
    <w:rsid w:val="008675A1"/>
    <w:rsid w:val="008701CC"/>
    <w:rsid w:val="00870DAC"/>
    <w:rsid w:val="00870EC6"/>
    <w:rsid w:val="00871D60"/>
    <w:rsid w:val="008767C3"/>
    <w:rsid w:val="00877C38"/>
    <w:rsid w:val="008814AE"/>
    <w:rsid w:val="00881EBD"/>
    <w:rsid w:val="0088315F"/>
    <w:rsid w:val="00892338"/>
    <w:rsid w:val="00893E45"/>
    <w:rsid w:val="008965B6"/>
    <w:rsid w:val="008A0CD7"/>
    <w:rsid w:val="008A0D8C"/>
    <w:rsid w:val="008A1B6E"/>
    <w:rsid w:val="008A2456"/>
    <w:rsid w:val="008A2C09"/>
    <w:rsid w:val="008A7355"/>
    <w:rsid w:val="008A798A"/>
    <w:rsid w:val="008B0A3F"/>
    <w:rsid w:val="008B0DB8"/>
    <w:rsid w:val="008B19A1"/>
    <w:rsid w:val="008B1AD5"/>
    <w:rsid w:val="008B23A1"/>
    <w:rsid w:val="008B30A1"/>
    <w:rsid w:val="008B351E"/>
    <w:rsid w:val="008B409B"/>
    <w:rsid w:val="008B439A"/>
    <w:rsid w:val="008B5166"/>
    <w:rsid w:val="008B70BC"/>
    <w:rsid w:val="008B76A0"/>
    <w:rsid w:val="008B76B3"/>
    <w:rsid w:val="008C27B2"/>
    <w:rsid w:val="008C2C88"/>
    <w:rsid w:val="008C33DE"/>
    <w:rsid w:val="008C3D06"/>
    <w:rsid w:val="008C4B79"/>
    <w:rsid w:val="008C4DA2"/>
    <w:rsid w:val="008D5338"/>
    <w:rsid w:val="008D5745"/>
    <w:rsid w:val="008E18D6"/>
    <w:rsid w:val="008E3D78"/>
    <w:rsid w:val="008E6D03"/>
    <w:rsid w:val="008E75F9"/>
    <w:rsid w:val="008F333C"/>
    <w:rsid w:val="008F5D6B"/>
    <w:rsid w:val="00901785"/>
    <w:rsid w:val="00903A60"/>
    <w:rsid w:val="00904C78"/>
    <w:rsid w:val="009106B0"/>
    <w:rsid w:val="00912092"/>
    <w:rsid w:val="0091262A"/>
    <w:rsid w:val="0091324D"/>
    <w:rsid w:val="009141BB"/>
    <w:rsid w:val="009152A6"/>
    <w:rsid w:val="009155BB"/>
    <w:rsid w:val="00917499"/>
    <w:rsid w:val="0092057C"/>
    <w:rsid w:val="00920D9A"/>
    <w:rsid w:val="009277DF"/>
    <w:rsid w:val="009304D5"/>
    <w:rsid w:val="00931B05"/>
    <w:rsid w:val="009322FA"/>
    <w:rsid w:val="00933CDE"/>
    <w:rsid w:val="00934068"/>
    <w:rsid w:val="00941798"/>
    <w:rsid w:val="00941DE8"/>
    <w:rsid w:val="00946923"/>
    <w:rsid w:val="00946BDA"/>
    <w:rsid w:val="00946D07"/>
    <w:rsid w:val="009544CC"/>
    <w:rsid w:val="00955082"/>
    <w:rsid w:val="00956B70"/>
    <w:rsid w:val="0095707E"/>
    <w:rsid w:val="00960AB0"/>
    <w:rsid w:val="00962329"/>
    <w:rsid w:val="00965F1B"/>
    <w:rsid w:val="00966D00"/>
    <w:rsid w:val="00972279"/>
    <w:rsid w:val="00973552"/>
    <w:rsid w:val="00974046"/>
    <w:rsid w:val="0097485C"/>
    <w:rsid w:val="00975534"/>
    <w:rsid w:val="0097575A"/>
    <w:rsid w:val="009776BC"/>
    <w:rsid w:val="009779DF"/>
    <w:rsid w:val="0098001D"/>
    <w:rsid w:val="0098177D"/>
    <w:rsid w:val="009845DE"/>
    <w:rsid w:val="00984DBE"/>
    <w:rsid w:val="009860CE"/>
    <w:rsid w:val="0098708B"/>
    <w:rsid w:val="00991218"/>
    <w:rsid w:val="009914F1"/>
    <w:rsid w:val="009930BB"/>
    <w:rsid w:val="00993A9A"/>
    <w:rsid w:val="009949A0"/>
    <w:rsid w:val="00995294"/>
    <w:rsid w:val="009956B2"/>
    <w:rsid w:val="00997465"/>
    <w:rsid w:val="00997673"/>
    <w:rsid w:val="00997940"/>
    <w:rsid w:val="00997C79"/>
    <w:rsid w:val="00997DD6"/>
    <w:rsid w:val="009A053F"/>
    <w:rsid w:val="009A092A"/>
    <w:rsid w:val="009A1AA3"/>
    <w:rsid w:val="009A416F"/>
    <w:rsid w:val="009A4B7B"/>
    <w:rsid w:val="009B26C2"/>
    <w:rsid w:val="009B2764"/>
    <w:rsid w:val="009B289A"/>
    <w:rsid w:val="009B291F"/>
    <w:rsid w:val="009B30C9"/>
    <w:rsid w:val="009B3717"/>
    <w:rsid w:val="009B5A57"/>
    <w:rsid w:val="009B73EC"/>
    <w:rsid w:val="009C0BFD"/>
    <w:rsid w:val="009C1F4F"/>
    <w:rsid w:val="009C3422"/>
    <w:rsid w:val="009C47F8"/>
    <w:rsid w:val="009C5055"/>
    <w:rsid w:val="009C5BE5"/>
    <w:rsid w:val="009C5CF9"/>
    <w:rsid w:val="009D1F55"/>
    <w:rsid w:val="009D35AE"/>
    <w:rsid w:val="009D6910"/>
    <w:rsid w:val="009E376A"/>
    <w:rsid w:val="009F0264"/>
    <w:rsid w:val="009F0E98"/>
    <w:rsid w:val="009F21DA"/>
    <w:rsid w:val="009F3B31"/>
    <w:rsid w:val="009F47AE"/>
    <w:rsid w:val="009F5263"/>
    <w:rsid w:val="00A01291"/>
    <w:rsid w:val="00A05E7A"/>
    <w:rsid w:val="00A063DA"/>
    <w:rsid w:val="00A06477"/>
    <w:rsid w:val="00A10AAD"/>
    <w:rsid w:val="00A12509"/>
    <w:rsid w:val="00A13D3B"/>
    <w:rsid w:val="00A15B9C"/>
    <w:rsid w:val="00A20357"/>
    <w:rsid w:val="00A217B2"/>
    <w:rsid w:val="00A2230B"/>
    <w:rsid w:val="00A23340"/>
    <w:rsid w:val="00A26370"/>
    <w:rsid w:val="00A30151"/>
    <w:rsid w:val="00A30FDB"/>
    <w:rsid w:val="00A31567"/>
    <w:rsid w:val="00A3385B"/>
    <w:rsid w:val="00A35DB0"/>
    <w:rsid w:val="00A361A9"/>
    <w:rsid w:val="00A43CA6"/>
    <w:rsid w:val="00A450B6"/>
    <w:rsid w:val="00A47FF7"/>
    <w:rsid w:val="00A50573"/>
    <w:rsid w:val="00A50799"/>
    <w:rsid w:val="00A50850"/>
    <w:rsid w:val="00A50C6D"/>
    <w:rsid w:val="00A517C1"/>
    <w:rsid w:val="00A5466A"/>
    <w:rsid w:val="00A547C2"/>
    <w:rsid w:val="00A55CB1"/>
    <w:rsid w:val="00A55F0E"/>
    <w:rsid w:val="00A56404"/>
    <w:rsid w:val="00A63744"/>
    <w:rsid w:val="00A64185"/>
    <w:rsid w:val="00A73D84"/>
    <w:rsid w:val="00A81171"/>
    <w:rsid w:val="00A81660"/>
    <w:rsid w:val="00A820B8"/>
    <w:rsid w:val="00A8496C"/>
    <w:rsid w:val="00A8735E"/>
    <w:rsid w:val="00A8737A"/>
    <w:rsid w:val="00A8799F"/>
    <w:rsid w:val="00A909EB"/>
    <w:rsid w:val="00A93905"/>
    <w:rsid w:val="00A96894"/>
    <w:rsid w:val="00AA0C33"/>
    <w:rsid w:val="00AA1EF3"/>
    <w:rsid w:val="00AA288A"/>
    <w:rsid w:val="00AA36A3"/>
    <w:rsid w:val="00AA7114"/>
    <w:rsid w:val="00AB2CEC"/>
    <w:rsid w:val="00AB2D30"/>
    <w:rsid w:val="00AB3A86"/>
    <w:rsid w:val="00AB605F"/>
    <w:rsid w:val="00AB69AC"/>
    <w:rsid w:val="00AB7E11"/>
    <w:rsid w:val="00AC119E"/>
    <w:rsid w:val="00AC23F5"/>
    <w:rsid w:val="00AC4541"/>
    <w:rsid w:val="00AD1F22"/>
    <w:rsid w:val="00AD367A"/>
    <w:rsid w:val="00AD79E9"/>
    <w:rsid w:val="00AD7C2B"/>
    <w:rsid w:val="00AE1E14"/>
    <w:rsid w:val="00AE463C"/>
    <w:rsid w:val="00AE668E"/>
    <w:rsid w:val="00AE7D06"/>
    <w:rsid w:val="00AF0192"/>
    <w:rsid w:val="00AF1199"/>
    <w:rsid w:val="00AF156D"/>
    <w:rsid w:val="00AF220E"/>
    <w:rsid w:val="00AF5139"/>
    <w:rsid w:val="00AF5D2E"/>
    <w:rsid w:val="00B03E0B"/>
    <w:rsid w:val="00B045F0"/>
    <w:rsid w:val="00B04D3F"/>
    <w:rsid w:val="00B06033"/>
    <w:rsid w:val="00B071A5"/>
    <w:rsid w:val="00B072AC"/>
    <w:rsid w:val="00B11695"/>
    <w:rsid w:val="00B13187"/>
    <w:rsid w:val="00B139EC"/>
    <w:rsid w:val="00B15A67"/>
    <w:rsid w:val="00B21FAE"/>
    <w:rsid w:val="00B230EF"/>
    <w:rsid w:val="00B23FBE"/>
    <w:rsid w:val="00B2582A"/>
    <w:rsid w:val="00B408ED"/>
    <w:rsid w:val="00B42482"/>
    <w:rsid w:val="00B427A9"/>
    <w:rsid w:val="00B42AD1"/>
    <w:rsid w:val="00B42DA8"/>
    <w:rsid w:val="00B435CA"/>
    <w:rsid w:val="00B43A04"/>
    <w:rsid w:val="00B47AAA"/>
    <w:rsid w:val="00B5094B"/>
    <w:rsid w:val="00B50C62"/>
    <w:rsid w:val="00B50E1B"/>
    <w:rsid w:val="00B51157"/>
    <w:rsid w:val="00B5208C"/>
    <w:rsid w:val="00B52863"/>
    <w:rsid w:val="00B53181"/>
    <w:rsid w:val="00B53CE1"/>
    <w:rsid w:val="00B56D8D"/>
    <w:rsid w:val="00B608E5"/>
    <w:rsid w:val="00B6235E"/>
    <w:rsid w:val="00B62DD4"/>
    <w:rsid w:val="00B63CA9"/>
    <w:rsid w:val="00B64C76"/>
    <w:rsid w:val="00B66394"/>
    <w:rsid w:val="00B66851"/>
    <w:rsid w:val="00B67143"/>
    <w:rsid w:val="00B67F0F"/>
    <w:rsid w:val="00B67FC7"/>
    <w:rsid w:val="00B70611"/>
    <w:rsid w:val="00B70772"/>
    <w:rsid w:val="00B70C28"/>
    <w:rsid w:val="00B7117A"/>
    <w:rsid w:val="00B73878"/>
    <w:rsid w:val="00B74420"/>
    <w:rsid w:val="00B750C9"/>
    <w:rsid w:val="00B75BF7"/>
    <w:rsid w:val="00B76007"/>
    <w:rsid w:val="00B77507"/>
    <w:rsid w:val="00B775BE"/>
    <w:rsid w:val="00B8420B"/>
    <w:rsid w:val="00B8591E"/>
    <w:rsid w:val="00B8636E"/>
    <w:rsid w:val="00B927AA"/>
    <w:rsid w:val="00B96875"/>
    <w:rsid w:val="00B96992"/>
    <w:rsid w:val="00BA0AAC"/>
    <w:rsid w:val="00BB16B7"/>
    <w:rsid w:val="00BB23CA"/>
    <w:rsid w:val="00BB293C"/>
    <w:rsid w:val="00BB526B"/>
    <w:rsid w:val="00BB5F80"/>
    <w:rsid w:val="00BB6461"/>
    <w:rsid w:val="00BC08AE"/>
    <w:rsid w:val="00BC1EDA"/>
    <w:rsid w:val="00BC2C10"/>
    <w:rsid w:val="00BC42FC"/>
    <w:rsid w:val="00BC45D9"/>
    <w:rsid w:val="00BC722D"/>
    <w:rsid w:val="00BD07D2"/>
    <w:rsid w:val="00BD27D1"/>
    <w:rsid w:val="00BD3E7B"/>
    <w:rsid w:val="00BD447D"/>
    <w:rsid w:val="00BD4AF6"/>
    <w:rsid w:val="00BD6614"/>
    <w:rsid w:val="00BE3482"/>
    <w:rsid w:val="00BE40EF"/>
    <w:rsid w:val="00BE773F"/>
    <w:rsid w:val="00BE7AC5"/>
    <w:rsid w:val="00BF0C83"/>
    <w:rsid w:val="00BF2515"/>
    <w:rsid w:val="00BF2E41"/>
    <w:rsid w:val="00BF3243"/>
    <w:rsid w:val="00BF49AF"/>
    <w:rsid w:val="00BF4DC2"/>
    <w:rsid w:val="00BF5644"/>
    <w:rsid w:val="00BF58AC"/>
    <w:rsid w:val="00BF61AF"/>
    <w:rsid w:val="00BF7333"/>
    <w:rsid w:val="00BF7381"/>
    <w:rsid w:val="00C016A2"/>
    <w:rsid w:val="00C01E7D"/>
    <w:rsid w:val="00C01EE0"/>
    <w:rsid w:val="00C03182"/>
    <w:rsid w:val="00C04B0F"/>
    <w:rsid w:val="00C07D40"/>
    <w:rsid w:val="00C13EB2"/>
    <w:rsid w:val="00C15B5F"/>
    <w:rsid w:val="00C16D26"/>
    <w:rsid w:val="00C220FA"/>
    <w:rsid w:val="00C2228E"/>
    <w:rsid w:val="00C223B8"/>
    <w:rsid w:val="00C22DF5"/>
    <w:rsid w:val="00C31857"/>
    <w:rsid w:val="00C411A2"/>
    <w:rsid w:val="00C42A18"/>
    <w:rsid w:val="00C452BA"/>
    <w:rsid w:val="00C47ACC"/>
    <w:rsid w:val="00C602BA"/>
    <w:rsid w:val="00C61878"/>
    <w:rsid w:val="00C624FE"/>
    <w:rsid w:val="00C62C35"/>
    <w:rsid w:val="00C67F3D"/>
    <w:rsid w:val="00C701E2"/>
    <w:rsid w:val="00C704DF"/>
    <w:rsid w:val="00C7053C"/>
    <w:rsid w:val="00C70E72"/>
    <w:rsid w:val="00C72F52"/>
    <w:rsid w:val="00C750A1"/>
    <w:rsid w:val="00C7606E"/>
    <w:rsid w:val="00C77D22"/>
    <w:rsid w:val="00C805B5"/>
    <w:rsid w:val="00C811DC"/>
    <w:rsid w:val="00C8669F"/>
    <w:rsid w:val="00C90385"/>
    <w:rsid w:val="00C921FE"/>
    <w:rsid w:val="00C964B3"/>
    <w:rsid w:val="00C96F8A"/>
    <w:rsid w:val="00CA1C65"/>
    <w:rsid w:val="00CA4250"/>
    <w:rsid w:val="00CB2E27"/>
    <w:rsid w:val="00CB51FC"/>
    <w:rsid w:val="00CC1BA7"/>
    <w:rsid w:val="00CC25A1"/>
    <w:rsid w:val="00CC2CEB"/>
    <w:rsid w:val="00CC3020"/>
    <w:rsid w:val="00CC4B24"/>
    <w:rsid w:val="00CC4C79"/>
    <w:rsid w:val="00CC54F2"/>
    <w:rsid w:val="00CD1066"/>
    <w:rsid w:val="00CD2746"/>
    <w:rsid w:val="00CD49F0"/>
    <w:rsid w:val="00CD57B2"/>
    <w:rsid w:val="00CD5EDC"/>
    <w:rsid w:val="00CE01C7"/>
    <w:rsid w:val="00CE104F"/>
    <w:rsid w:val="00CE19F2"/>
    <w:rsid w:val="00CE2F35"/>
    <w:rsid w:val="00CE3258"/>
    <w:rsid w:val="00CE40E6"/>
    <w:rsid w:val="00CF336D"/>
    <w:rsid w:val="00CF5475"/>
    <w:rsid w:val="00CF66C8"/>
    <w:rsid w:val="00CF72B4"/>
    <w:rsid w:val="00D00895"/>
    <w:rsid w:val="00D01E71"/>
    <w:rsid w:val="00D03FC6"/>
    <w:rsid w:val="00D06F00"/>
    <w:rsid w:val="00D0741C"/>
    <w:rsid w:val="00D10A86"/>
    <w:rsid w:val="00D1119E"/>
    <w:rsid w:val="00D1239D"/>
    <w:rsid w:val="00D127E8"/>
    <w:rsid w:val="00D154F7"/>
    <w:rsid w:val="00D172FB"/>
    <w:rsid w:val="00D206A3"/>
    <w:rsid w:val="00D218B1"/>
    <w:rsid w:val="00D239EE"/>
    <w:rsid w:val="00D26250"/>
    <w:rsid w:val="00D30538"/>
    <w:rsid w:val="00D31177"/>
    <w:rsid w:val="00D314C5"/>
    <w:rsid w:val="00D32355"/>
    <w:rsid w:val="00D330CD"/>
    <w:rsid w:val="00D34B98"/>
    <w:rsid w:val="00D36B08"/>
    <w:rsid w:val="00D36EAF"/>
    <w:rsid w:val="00D41C4E"/>
    <w:rsid w:val="00D42B20"/>
    <w:rsid w:val="00D43E2B"/>
    <w:rsid w:val="00D43F1C"/>
    <w:rsid w:val="00D46531"/>
    <w:rsid w:val="00D46A5F"/>
    <w:rsid w:val="00D47924"/>
    <w:rsid w:val="00D511E1"/>
    <w:rsid w:val="00D51F8C"/>
    <w:rsid w:val="00D52E63"/>
    <w:rsid w:val="00D5347D"/>
    <w:rsid w:val="00D554A1"/>
    <w:rsid w:val="00D55CFC"/>
    <w:rsid w:val="00D56FBE"/>
    <w:rsid w:val="00D5753D"/>
    <w:rsid w:val="00D61761"/>
    <w:rsid w:val="00D62863"/>
    <w:rsid w:val="00D65126"/>
    <w:rsid w:val="00D65E02"/>
    <w:rsid w:val="00D66A6F"/>
    <w:rsid w:val="00D66B2B"/>
    <w:rsid w:val="00D675F6"/>
    <w:rsid w:val="00D71D28"/>
    <w:rsid w:val="00D730C1"/>
    <w:rsid w:val="00D73255"/>
    <w:rsid w:val="00D74FC1"/>
    <w:rsid w:val="00D75D8E"/>
    <w:rsid w:val="00D770D3"/>
    <w:rsid w:val="00D8038D"/>
    <w:rsid w:val="00D85CDE"/>
    <w:rsid w:val="00D8676B"/>
    <w:rsid w:val="00D871F0"/>
    <w:rsid w:val="00D9025A"/>
    <w:rsid w:val="00D92DFF"/>
    <w:rsid w:val="00D936BF"/>
    <w:rsid w:val="00D94046"/>
    <w:rsid w:val="00D94B36"/>
    <w:rsid w:val="00D9782D"/>
    <w:rsid w:val="00DA034D"/>
    <w:rsid w:val="00DA6511"/>
    <w:rsid w:val="00DA6682"/>
    <w:rsid w:val="00DA6E6A"/>
    <w:rsid w:val="00DB1CAC"/>
    <w:rsid w:val="00DB381B"/>
    <w:rsid w:val="00DB6BFF"/>
    <w:rsid w:val="00DD102E"/>
    <w:rsid w:val="00DD4897"/>
    <w:rsid w:val="00DD5C1C"/>
    <w:rsid w:val="00DD61DF"/>
    <w:rsid w:val="00DD6247"/>
    <w:rsid w:val="00DD7C47"/>
    <w:rsid w:val="00DE00E6"/>
    <w:rsid w:val="00DE02C5"/>
    <w:rsid w:val="00DE0B18"/>
    <w:rsid w:val="00DE1F29"/>
    <w:rsid w:val="00DE28FE"/>
    <w:rsid w:val="00DE5D82"/>
    <w:rsid w:val="00DE69E6"/>
    <w:rsid w:val="00DE6D1D"/>
    <w:rsid w:val="00DE74A6"/>
    <w:rsid w:val="00DF5288"/>
    <w:rsid w:val="00DF59E4"/>
    <w:rsid w:val="00DF71A0"/>
    <w:rsid w:val="00E0077C"/>
    <w:rsid w:val="00E00A91"/>
    <w:rsid w:val="00E01A16"/>
    <w:rsid w:val="00E02BF5"/>
    <w:rsid w:val="00E03E9F"/>
    <w:rsid w:val="00E0584D"/>
    <w:rsid w:val="00E076C7"/>
    <w:rsid w:val="00E10D07"/>
    <w:rsid w:val="00E11886"/>
    <w:rsid w:val="00E129E7"/>
    <w:rsid w:val="00E12D22"/>
    <w:rsid w:val="00E14390"/>
    <w:rsid w:val="00E14855"/>
    <w:rsid w:val="00E156A7"/>
    <w:rsid w:val="00E15F87"/>
    <w:rsid w:val="00E1777A"/>
    <w:rsid w:val="00E3026B"/>
    <w:rsid w:val="00E30E4E"/>
    <w:rsid w:val="00E319CE"/>
    <w:rsid w:val="00E37AF4"/>
    <w:rsid w:val="00E40B06"/>
    <w:rsid w:val="00E421C3"/>
    <w:rsid w:val="00E43998"/>
    <w:rsid w:val="00E4408E"/>
    <w:rsid w:val="00E44D66"/>
    <w:rsid w:val="00E45838"/>
    <w:rsid w:val="00E46B17"/>
    <w:rsid w:val="00E46D08"/>
    <w:rsid w:val="00E4738A"/>
    <w:rsid w:val="00E50894"/>
    <w:rsid w:val="00E509A3"/>
    <w:rsid w:val="00E51058"/>
    <w:rsid w:val="00E513EF"/>
    <w:rsid w:val="00E531B1"/>
    <w:rsid w:val="00E54672"/>
    <w:rsid w:val="00E546D0"/>
    <w:rsid w:val="00E55BC2"/>
    <w:rsid w:val="00E576A6"/>
    <w:rsid w:val="00E600A3"/>
    <w:rsid w:val="00E6119C"/>
    <w:rsid w:val="00E63460"/>
    <w:rsid w:val="00E64AA1"/>
    <w:rsid w:val="00E64E00"/>
    <w:rsid w:val="00E652FB"/>
    <w:rsid w:val="00E6539E"/>
    <w:rsid w:val="00E664A3"/>
    <w:rsid w:val="00E6661C"/>
    <w:rsid w:val="00E67327"/>
    <w:rsid w:val="00E7004E"/>
    <w:rsid w:val="00E70542"/>
    <w:rsid w:val="00E70D9D"/>
    <w:rsid w:val="00E76266"/>
    <w:rsid w:val="00E821B0"/>
    <w:rsid w:val="00E91E66"/>
    <w:rsid w:val="00E91F17"/>
    <w:rsid w:val="00E968B2"/>
    <w:rsid w:val="00E97A57"/>
    <w:rsid w:val="00EA208C"/>
    <w:rsid w:val="00EA256B"/>
    <w:rsid w:val="00EA3070"/>
    <w:rsid w:val="00EA356A"/>
    <w:rsid w:val="00EA3AE7"/>
    <w:rsid w:val="00EA4775"/>
    <w:rsid w:val="00EA5E55"/>
    <w:rsid w:val="00EA6D00"/>
    <w:rsid w:val="00EA6E09"/>
    <w:rsid w:val="00EA7B51"/>
    <w:rsid w:val="00EB2589"/>
    <w:rsid w:val="00EB46A5"/>
    <w:rsid w:val="00EB4753"/>
    <w:rsid w:val="00EB6915"/>
    <w:rsid w:val="00EB7F13"/>
    <w:rsid w:val="00EC0BC6"/>
    <w:rsid w:val="00EC1CD1"/>
    <w:rsid w:val="00EC4519"/>
    <w:rsid w:val="00EC482D"/>
    <w:rsid w:val="00EC56BC"/>
    <w:rsid w:val="00EC5E29"/>
    <w:rsid w:val="00EC758B"/>
    <w:rsid w:val="00ED3B5D"/>
    <w:rsid w:val="00ED4233"/>
    <w:rsid w:val="00ED458A"/>
    <w:rsid w:val="00ED7CC6"/>
    <w:rsid w:val="00EE13BE"/>
    <w:rsid w:val="00EE1F0A"/>
    <w:rsid w:val="00EE2B51"/>
    <w:rsid w:val="00EE31EA"/>
    <w:rsid w:val="00EE33D7"/>
    <w:rsid w:val="00EE575D"/>
    <w:rsid w:val="00EE5E68"/>
    <w:rsid w:val="00EF05D3"/>
    <w:rsid w:val="00EF1B4B"/>
    <w:rsid w:val="00EF1BED"/>
    <w:rsid w:val="00EF3F6F"/>
    <w:rsid w:val="00EF46B9"/>
    <w:rsid w:val="00EF6972"/>
    <w:rsid w:val="00EF6C54"/>
    <w:rsid w:val="00EF72D1"/>
    <w:rsid w:val="00EF79A7"/>
    <w:rsid w:val="00EF7FBA"/>
    <w:rsid w:val="00F00E9A"/>
    <w:rsid w:val="00F05FEE"/>
    <w:rsid w:val="00F10B5D"/>
    <w:rsid w:val="00F130DC"/>
    <w:rsid w:val="00F13B55"/>
    <w:rsid w:val="00F1576E"/>
    <w:rsid w:val="00F16161"/>
    <w:rsid w:val="00F21FF2"/>
    <w:rsid w:val="00F24F6D"/>
    <w:rsid w:val="00F258F3"/>
    <w:rsid w:val="00F26E9D"/>
    <w:rsid w:val="00F3072F"/>
    <w:rsid w:val="00F30D18"/>
    <w:rsid w:val="00F35A7E"/>
    <w:rsid w:val="00F41D90"/>
    <w:rsid w:val="00F42D75"/>
    <w:rsid w:val="00F46596"/>
    <w:rsid w:val="00F4718F"/>
    <w:rsid w:val="00F50905"/>
    <w:rsid w:val="00F55311"/>
    <w:rsid w:val="00F55F5B"/>
    <w:rsid w:val="00F5693E"/>
    <w:rsid w:val="00F56E15"/>
    <w:rsid w:val="00F57B0B"/>
    <w:rsid w:val="00F61C47"/>
    <w:rsid w:val="00F63A75"/>
    <w:rsid w:val="00F63CFE"/>
    <w:rsid w:val="00F67B87"/>
    <w:rsid w:val="00F71508"/>
    <w:rsid w:val="00F71552"/>
    <w:rsid w:val="00F7188B"/>
    <w:rsid w:val="00F72090"/>
    <w:rsid w:val="00F7639A"/>
    <w:rsid w:val="00F81361"/>
    <w:rsid w:val="00F83C09"/>
    <w:rsid w:val="00F90BE1"/>
    <w:rsid w:val="00F945A6"/>
    <w:rsid w:val="00F94C9C"/>
    <w:rsid w:val="00F94E3C"/>
    <w:rsid w:val="00F958F8"/>
    <w:rsid w:val="00FA0A8A"/>
    <w:rsid w:val="00FA11CC"/>
    <w:rsid w:val="00FA2185"/>
    <w:rsid w:val="00FA543F"/>
    <w:rsid w:val="00FA5759"/>
    <w:rsid w:val="00FA78CB"/>
    <w:rsid w:val="00FB026F"/>
    <w:rsid w:val="00FB1230"/>
    <w:rsid w:val="00FB13DC"/>
    <w:rsid w:val="00FB1915"/>
    <w:rsid w:val="00FB21EB"/>
    <w:rsid w:val="00FB266D"/>
    <w:rsid w:val="00FB55A1"/>
    <w:rsid w:val="00FB7C63"/>
    <w:rsid w:val="00FC5425"/>
    <w:rsid w:val="00FD09A1"/>
    <w:rsid w:val="00FD4F6C"/>
    <w:rsid w:val="00FD5127"/>
    <w:rsid w:val="00FD6069"/>
    <w:rsid w:val="00FD6C69"/>
    <w:rsid w:val="00FD7524"/>
    <w:rsid w:val="00FD7560"/>
    <w:rsid w:val="00FE024C"/>
    <w:rsid w:val="00FE1AB0"/>
    <w:rsid w:val="00FE2E1B"/>
    <w:rsid w:val="00FE5053"/>
    <w:rsid w:val="00FE6415"/>
    <w:rsid w:val="00FF0193"/>
    <w:rsid w:val="00FF18EA"/>
    <w:rsid w:val="00FF1B7F"/>
    <w:rsid w:val="00FF4688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306CA"/>
  <w15:docId w15:val="{7CFEE1D5-8009-4DBE-8855-97B9F6E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218"/>
    <w:pPr>
      <w:keepNext/>
      <w:keepLines/>
      <w:spacing w:before="200" w:after="0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218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218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218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218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218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218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218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2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1119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119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E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16"/>
  </w:style>
  <w:style w:type="paragraph" w:styleId="Footer">
    <w:name w:val="footer"/>
    <w:basedOn w:val="Normal"/>
    <w:link w:val="FooterChar"/>
    <w:uiPriority w:val="99"/>
    <w:unhideWhenUsed/>
    <w:rsid w:val="006F2963"/>
    <w:pPr>
      <w:tabs>
        <w:tab w:val="center" w:pos="4680"/>
        <w:tab w:val="right" w:pos="9360"/>
      </w:tabs>
      <w:spacing w:after="0" w:line="240" w:lineRule="auto"/>
    </w:pPr>
    <w:rPr>
      <w:b/>
      <w:spacing w:val="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F2963"/>
    <w:rPr>
      <w:b/>
      <w:spacing w:val="60"/>
      <w:sz w:val="16"/>
      <w:szCs w:val="16"/>
    </w:rPr>
  </w:style>
  <w:style w:type="table" w:styleId="TableGrid">
    <w:name w:val="Table Grid"/>
    <w:basedOn w:val="TableNormal"/>
    <w:uiPriority w:val="59"/>
    <w:rsid w:val="003E2D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E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5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unhideWhenUsed/>
    <w:rsid w:val="0062510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2510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2510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13187"/>
    <w:pPr>
      <w:spacing w:after="100"/>
    </w:pPr>
    <w:rPr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25107"/>
    <w:pPr>
      <w:spacing w:after="100"/>
      <w:ind w:left="440"/>
    </w:pPr>
  </w:style>
  <w:style w:type="table" w:customStyle="1" w:styleId="LightGrid1">
    <w:name w:val="Light Grid1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rsid w:val="00AB69A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31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30E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0E4E"/>
    <w:rPr>
      <w:rFonts w:ascii="Consolas" w:eastAsiaTheme="minorEastAsia" w:hAnsi="Consolas"/>
      <w:sz w:val="21"/>
      <w:szCs w:val="21"/>
    </w:rPr>
  </w:style>
  <w:style w:type="character" w:styleId="CommentReference">
    <w:name w:val="annotation reference"/>
    <w:basedOn w:val="DefaultParagraphFont"/>
    <w:unhideWhenUsed/>
    <w:rsid w:val="00E30E4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0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4E"/>
    <w:rPr>
      <w:rFonts w:eastAsiaTheme="minorEastAsia"/>
      <w:sz w:val="20"/>
      <w:szCs w:val="20"/>
    </w:rPr>
  </w:style>
  <w:style w:type="paragraph" w:customStyle="1" w:styleId="Heading">
    <w:name w:val="Heading"/>
    <w:basedOn w:val="Normal"/>
    <w:next w:val="Normal"/>
    <w:rsid w:val="00E30E4E"/>
    <w:pPr>
      <w:keepNext/>
      <w:suppressAutoHyphens/>
      <w:autoSpaceDN w:val="0"/>
      <w:spacing w:before="240" w:after="120" w:line="240" w:lineRule="auto"/>
      <w:textAlignment w:val="baseline"/>
    </w:pPr>
    <w:rPr>
      <w:rFonts w:ascii="Arial" w:eastAsia="DejaVu Sans" w:hAnsi="Arial" w:cs="DejaVu Sans"/>
      <w:color w:val="000000"/>
      <w:kern w:val="3"/>
      <w:sz w:val="28"/>
      <w:szCs w:val="28"/>
    </w:rPr>
  </w:style>
  <w:style w:type="paragraph" w:customStyle="1" w:styleId="synopsis">
    <w:name w:val="synopsis"/>
    <w:basedOn w:val="Normal"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D4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531"/>
    <w:rPr>
      <w:b/>
      <w:bCs/>
    </w:rPr>
  </w:style>
  <w:style w:type="character" w:customStyle="1" w:styleId="WW8Num7z1">
    <w:name w:val="WW8Num7z1"/>
    <w:rsid w:val="00BB23CA"/>
    <w:rPr>
      <w:rFonts w:ascii="Courier New" w:hAnsi="Courier New" w:cs="Wingdings"/>
    </w:rPr>
  </w:style>
  <w:style w:type="paragraph" w:styleId="BodyText">
    <w:name w:val="Body Text"/>
    <w:basedOn w:val="Normal"/>
    <w:link w:val="BodyTextChar"/>
    <w:rsid w:val="00BB23CA"/>
    <w:pPr>
      <w:suppressAutoHyphens/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B23CA"/>
    <w:rPr>
      <w:rFonts w:ascii="Times New Roman" w:eastAsia="Calibri" w:hAnsi="Times New Roman" w:cs="Times New Roman"/>
      <w:sz w:val="24"/>
      <w:szCs w:val="24"/>
      <w:lang w:val="en-GB" w:eastAsia="ar-SA"/>
    </w:rPr>
  </w:style>
  <w:style w:type="table" w:styleId="LightGrid-Accent2">
    <w:name w:val="Light Grid Accent 2"/>
    <w:basedOn w:val="TableNormal"/>
    <w:uiPriority w:val="62"/>
    <w:rsid w:val="00EA3AE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Emphasis">
    <w:name w:val="Emphasis"/>
    <w:basedOn w:val="DefaultParagraphFont"/>
    <w:uiPriority w:val="20"/>
    <w:qFormat/>
    <w:rsid w:val="00C921FE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F2515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B3"/>
    <w:rPr>
      <w:rFonts w:eastAsiaTheme="minorEastAsia"/>
      <w:b/>
      <w:bCs/>
      <w:sz w:val="20"/>
      <w:szCs w:val="20"/>
    </w:rPr>
  </w:style>
  <w:style w:type="paragraph" w:customStyle="1" w:styleId="MediumGrid1-Accent21">
    <w:name w:val="Medium Grid 1 - Accent 21"/>
    <w:basedOn w:val="Normal"/>
    <w:rsid w:val="00EB46A5"/>
    <w:pPr>
      <w:suppressAutoHyphens/>
      <w:ind w:left="720"/>
    </w:pPr>
    <w:rPr>
      <w:rFonts w:ascii="Calibri" w:eastAsia="Times New Roman" w:hAnsi="Calibri" w:cs="Arial"/>
      <w:lang w:val="de-DE" w:eastAsia="ar-SA"/>
    </w:rPr>
  </w:style>
  <w:style w:type="paragraph" w:customStyle="1" w:styleId="Default">
    <w:name w:val="Default"/>
    <w:rsid w:val="00142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detext">
    <w:name w:val="nodetext"/>
    <w:basedOn w:val="DefaultParagraphFont"/>
    <w:rsid w:val="00EB7F13"/>
  </w:style>
  <w:style w:type="paragraph" w:customStyle="1" w:styleId="cptcode-no-indent">
    <w:name w:val="cptcode-no-indent"/>
    <w:basedOn w:val="Normal"/>
    <w:rsid w:val="00E64E00"/>
    <w:pPr>
      <w:spacing w:before="100" w:beforeAutospacing="1" w:after="0" w:line="240" w:lineRule="auto"/>
    </w:pPr>
    <w:rPr>
      <w:rFonts w:ascii="Arial, Helvetica, sans-serif" w:eastAsia="Times New Roman" w:hAnsi="Arial, Helvetica, sans-serif" w:cs="Times New Roman"/>
    </w:rPr>
  </w:style>
  <w:style w:type="table" w:styleId="LightGrid">
    <w:name w:val="Light Grid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57B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912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21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912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218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218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21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21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21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92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965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8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7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h.gov.ae/en/Shafafiya/standard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2011-02-01T00:00:00</PublishDate>
  <Abstract> Version</Abstract>
  <CompanyAddress>Government Prices &amp;Product Benefits- Health System Financing Division             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6DC0D179DA74E9C1E02F5D27FDCB6" ma:contentTypeVersion="12" ma:contentTypeDescription="Create a new document." ma:contentTypeScope="" ma:versionID="08271216970a57304787689ce49dd8a8">
  <xsd:schema xmlns:xsd="http://www.w3.org/2001/XMLSchema" xmlns:xs="http://www.w3.org/2001/XMLSchema" xmlns:p="http://schemas.microsoft.com/office/2006/metadata/properties" xmlns:ns2="a44901e0-73ed-48a0-a8e7-7e7080a82314" xmlns:ns3="ddc6268b-4f8d-49c5-9f1f-e113b8eb4283" targetNamespace="http://schemas.microsoft.com/office/2006/metadata/properties" ma:root="true" ma:fieldsID="26bb4ae5154f5a4baf5f41cc580c2028" ns2:_="" ns3:_="">
    <xsd:import namespace="a44901e0-73ed-48a0-a8e7-7e7080a82314"/>
    <xsd:import namespace="ddc6268b-4f8d-49c5-9f1f-e113b8eb4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901e0-73ed-48a0-a8e7-7e7080a82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268b-4f8d-49c5-9f1f-e113b8eb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E29682-DDC3-4D87-BE00-912B67FCF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901e0-73ed-48a0-a8e7-7e7080a82314"/>
    <ds:schemaRef ds:uri="ddc6268b-4f8d-49c5-9f1f-e113b8eb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6958D-CE9C-491D-88AD-F1B939519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871408-1CD0-47AE-BD55-77710B9EE5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6F874-950B-4641-81E9-A9021718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21 to DOH Claims &amp; Adjudication Rules</vt:lpstr>
    </vt:vector>
  </TitlesOfParts>
  <Company>Health Authority of Abu Dhabi</Company>
  <LinksUpToDate>false</LinksUpToDate>
  <CharactersWithSpaces>4651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https://www.doh.gov.ae/en/Shafafiya/standards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21 to DOH Claims &amp; Adjudication Rules</dc:title>
  <dc:subject>Including the Mandatory Tariff Pricelist Application Rules.</dc:subject>
  <dc:creator>Health Systems Financing Department</dc:creator>
  <cp:lastModifiedBy>Hady Mohamed El Gabas</cp:lastModifiedBy>
  <cp:revision>2</cp:revision>
  <cp:lastPrinted>2018-01-28T10:43:00Z</cp:lastPrinted>
  <dcterms:created xsi:type="dcterms:W3CDTF">2021-07-04T06:38:00Z</dcterms:created>
  <dcterms:modified xsi:type="dcterms:W3CDTF">2021-07-04T06:38:00Z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0x010100E2F6DC0D179DA74E9C1E02F5D27FDCB6</vt:lpwstr>
  </property>
</Properties>
</file>