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theme="minorHAnsi"/>
          <w:color w:val="17365D" w:themeColor="text2" w:themeShade="BF"/>
          <w:sz w:val="24"/>
          <w:szCs w:val="24"/>
        </w:rPr>
        <w:id w:val="606662403"/>
        <w:docPartObj>
          <w:docPartGallery w:val="Cover Pages"/>
          <w:docPartUnique/>
        </w:docPartObj>
      </w:sdtPr>
      <w:sdtEndPr>
        <w:rPr>
          <w:b/>
          <w:bCs/>
          <w:smallCaps/>
        </w:rPr>
      </w:sdtEndPr>
      <w:sdtContent>
        <w:p w:rsidR="00805D25" w:rsidRPr="0015573F" w:rsidRDefault="00805D25" w:rsidP="00455D38">
          <w:pPr>
            <w:jc w:val="both"/>
            <w:rPr>
              <w:rFonts w:cstheme="minorHAnsi"/>
              <w:color w:val="17365D" w:themeColor="text2" w:themeShade="BF"/>
              <w:sz w:val="24"/>
              <w:szCs w:val="24"/>
            </w:rPr>
          </w:pPr>
        </w:p>
        <w:p w:rsidR="00C77D22" w:rsidRPr="0015573F" w:rsidRDefault="009A416F" w:rsidP="00F61C47">
          <w:pPr>
            <w:tabs>
              <w:tab w:val="left" w:pos="4123"/>
            </w:tabs>
            <w:jc w:val="both"/>
            <w:rPr>
              <w:rFonts w:cstheme="minorHAnsi"/>
              <w:color w:val="17365D" w:themeColor="text2" w:themeShade="BF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CCCEA7C" wp14:editId="1C4C5936">
                <wp:simplePos x="0" y="0"/>
                <wp:positionH relativeFrom="margin">
                  <wp:posOffset>865068</wp:posOffset>
                </wp:positionH>
                <wp:positionV relativeFrom="paragraph">
                  <wp:posOffset>221367</wp:posOffset>
                </wp:positionV>
                <wp:extent cx="4366049" cy="3982720"/>
                <wp:effectExtent l="0" t="0" r="0" b="0"/>
                <wp:wrapNone/>
                <wp:docPr id="5" name="Picture 5" descr="http://portal.haad.ae/Logos/DOH-CMYK-vertic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portal.haad.ae/Logos/DOH-CMYK-vertic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6049" cy="398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61C47">
            <w:rPr>
              <w:rFonts w:cstheme="minorHAnsi"/>
              <w:color w:val="17365D" w:themeColor="text2" w:themeShade="BF"/>
              <w:sz w:val="24"/>
              <w:szCs w:val="24"/>
            </w:rPr>
            <w:tab/>
          </w:r>
        </w:p>
        <w:p w:rsidR="00C77D22" w:rsidRPr="0015573F" w:rsidRDefault="00C77D22" w:rsidP="00455D38">
          <w:pPr>
            <w:jc w:val="both"/>
            <w:rPr>
              <w:rFonts w:cstheme="minorHAnsi"/>
              <w:color w:val="17365D" w:themeColor="text2" w:themeShade="BF"/>
              <w:sz w:val="24"/>
              <w:szCs w:val="24"/>
            </w:rPr>
          </w:pPr>
        </w:p>
        <w:p w:rsidR="00C77D22" w:rsidRPr="0015573F" w:rsidRDefault="00C77D22" w:rsidP="00455D38">
          <w:pPr>
            <w:jc w:val="both"/>
            <w:rPr>
              <w:rFonts w:cstheme="minorHAnsi"/>
              <w:color w:val="17365D" w:themeColor="text2" w:themeShade="BF"/>
              <w:sz w:val="24"/>
              <w:szCs w:val="24"/>
            </w:rPr>
          </w:pPr>
        </w:p>
        <w:p w:rsidR="00C77D22" w:rsidRPr="0015573F" w:rsidRDefault="00C77D22" w:rsidP="00455D38">
          <w:pPr>
            <w:jc w:val="both"/>
            <w:rPr>
              <w:rFonts w:cstheme="minorHAnsi"/>
              <w:color w:val="17365D" w:themeColor="text2" w:themeShade="BF"/>
              <w:sz w:val="24"/>
              <w:szCs w:val="24"/>
            </w:rPr>
          </w:pPr>
        </w:p>
        <w:tbl>
          <w:tblPr>
            <w:tblpPr w:leftFromText="187" w:rightFromText="187" w:vertAnchor="page" w:horzAnchor="margin" w:tblpXSpec="center" w:tblpY="976"/>
            <w:tblW w:w="58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7292"/>
            <w:gridCol w:w="2391"/>
            <w:gridCol w:w="1697"/>
          </w:tblGrid>
          <w:tr w:rsidR="008965B6" w:rsidRPr="0015573F" w:rsidTr="00455D38">
            <w:trPr>
              <w:trHeight w:val="3146"/>
            </w:trPr>
            <w:tc>
              <w:tcPr>
                <w:tcW w:w="7597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D218B1" w:rsidRPr="005C3721" w:rsidRDefault="003C4DD8" w:rsidP="002F0164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eastAsiaTheme="majorEastAsia" w:cstheme="minorHAnsi"/>
                    <w:color w:val="17365D" w:themeColor="text2" w:themeShade="BF"/>
                    <w:sz w:val="52"/>
                    <w:szCs w:val="52"/>
                  </w:rPr>
                </w:pPr>
                <w:sdt>
                  <w:sdtPr>
                    <w:rPr>
                      <w:rFonts w:cstheme="minorHAnsi"/>
                      <w:b/>
                      <w:bCs/>
                      <w:color w:val="17365D" w:themeColor="text2" w:themeShade="BF"/>
                      <w:sz w:val="52"/>
                      <w:szCs w:val="52"/>
                    </w:rPr>
                    <w:alias w:val="Title"/>
                    <w:id w:val="27671317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5C3721"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52"/>
                        <w:szCs w:val="52"/>
                        <w:lang w:val="en-GB"/>
                      </w:rPr>
                      <w:t xml:space="preserve">Addendum </w:t>
                    </w:r>
                    <w:r w:rsidR="004D11EC"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52"/>
                        <w:szCs w:val="52"/>
                        <w:lang w:val="en-GB"/>
                      </w:rPr>
                      <w:t>15</w:t>
                    </w:r>
                    <w:r w:rsidR="005C3721"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52"/>
                        <w:szCs w:val="52"/>
                        <w:lang w:val="en-GB"/>
                      </w:rPr>
                      <w:t xml:space="preserve"> to </w:t>
                    </w:r>
                    <w:r w:rsidR="002F0164"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52"/>
                        <w:szCs w:val="52"/>
                        <w:lang w:val="en-GB"/>
                      </w:rPr>
                      <w:t>DOH</w:t>
                    </w:r>
                    <w:r w:rsidR="005C3721"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52"/>
                        <w:szCs w:val="52"/>
                        <w:lang w:val="en-GB"/>
                      </w:rPr>
                      <w:t xml:space="preserve"> Claims &amp; Adjudication Rules</w:t>
                    </w:r>
                  </w:sdtContent>
                </w:sdt>
              </w:p>
            </w:tc>
            <w:tc>
              <w:tcPr>
                <w:tcW w:w="4284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:rsidR="00E7004E" w:rsidRPr="0015573F" w:rsidRDefault="00E7004E" w:rsidP="00C77D2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eastAsiaTheme="majorEastAsia" w:cstheme="minorHAnsi"/>
                    <w:b/>
                    <w:bCs/>
                    <w:color w:val="17365D" w:themeColor="text2" w:themeShade="BF"/>
                    <w:sz w:val="24"/>
                    <w:szCs w:val="24"/>
                  </w:rPr>
                </w:pPr>
                <w:r w:rsidRPr="0015573F">
                  <w:rPr>
                    <w:rFonts w:cstheme="minorHAnsi"/>
                    <w:b/>
                    <w:bCs/>
                    <w:color w:val="17365D" w:themeColor="text2" w:themeShade="BF"/>
                    <w:sz w:val="32"/>
                    <w:szCs w:val="32"/>
                  </w:rPr>
                  <w:t>Version</w:t>
                </w:r>
              </w:p>
              <w:p w:rsidR="00E7004E" w:rsidRPr="0015573F" w:rsidRDefault="00E7004E" w:rsidP="00455D38">
                <w:pPr>
                  <w:pStyle w:val="NoSpacing"/>
                  <w:jc w:val="both"/>
                  <w:rPr>
                    <w:rFonts w:eastAsiaTheme="majorEastAsia" w:cstheme="minorHAnsi"/>
                    <w:b/>
                    <w:bCs/>
                    <w:color w:val="17365D" w:themeColor="text2" w:themeShade="BF"/>
                    <w:sz w:val="24"/>
                    <w:szCs w:val="24"/>
                  </w:rPr>
                </w:pPr>
              </w:p>
              <w:p w:rsidR="00D218B1" w:rsidRPr="005C3721" w:rsidRDefault="00E7004E" w:rsidP="007D65F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b/>
                    <w:bCs/>
                    <w:color w:val="17365D" w:themeColor="text2" w:themeShade="BF"/>
                    <w:sz w:val="32"/>
                    <w:szCs w:val="32"/>
                  </w:rPr>
                </w:pPr>
                <w:r w:rsidRPr="005C3721">
                  <w:rPr>
                    <w:rFonts w:cstheme="minorHAnsi"/>
                    <w:b/>
                    <w:bCs/>
                    <w:color w:val="17365D" w:themeColor="text2" w:themeShade="BF"/>
                    <w:sz w:val="32"/>
                    <w:szCs w:val="32"/>
                  </w:rPr>
                  <w:t>V201</w:t>
                </w:r>
                <w:r w:rsidR="007D65F8">
                  <w:rPr>
                    <w:rFonts w:cstheme="minorHAnsi"/>
                    <w:b/>
                    <w:bCs/>
                    <w:color w:val="17365D" w:themeColor="text2" w:themeShade="BF"/>
                    <w:sz w:val="32"/>
                    <w:szCs w:val="32"/>
                  </w:rPr>
                  <w:t>2</w:t>
                </w:r>
              </w:p>
              <w:p w:rsidR="005C3721" w:rsidRPr="0015573F" w:rsidRDefault="005C3721" w:rsidP="00E3026B">
                <w:pPr>
                  <w:pStyle w:val="NoSpacing"/>
                  <w:jc w:val="both"/>
                  <w:rPr>
                    <w:rFonts w:cstheme="minorHAnsi"/>
                    <w:b/>
                    <w:bCs/>
                    <w:color w:val="17365D" w:themeColor="text2" w:themeShade="BF"/>
                    <w:sz w:val="52"/>
                    <w:szCs w:val="52"/>
                  </w:rPr>
                </w:pPr>
              </w:p>
            </w:tc>
          </w:tr>
          <w:tr w:rsidR="008965B6" w:rsidRPr="0015573F" w:rsidTr="00057218">
            <w:trPr>
              <w:trHeight w:val="1301"/>
            </w:trPr>
            <w:sdt>
              <w:sdtPr>
                <w:rPr>
                  <w:rFonts w:cstheme="minorHAnsi"/>
                  <w:b/>
                  <w:bCs/>
                  <w:color w:val="17365D" w:themeColor="text2" w:themeShade="BF"/>
                  <w:sz w:val="28"/>
                  <w:szCs w:val="28"/>
                </w:rPr>
                <w:alias w:val="Subtitle"/>
                <w:id w:val="276713189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10116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D218B1" w:rsidRPr="0015573F" w:rsidRDefault="00784200" w:rsidP="00C77D2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32"/>
                        <w:szCs w:val="32"/>
                      </w:rPr>
                    </w:pPr>
                    <w:r w:rsidRPr="0015573F"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28"/>
                        <w:szCs w:val="28"/>
                      </w:rPr>
                      <w:t>Including the Mandatory Tariff Pricelist Application Rules.</w:t>
                    </w:r>
                  </w:p>
                </w:tc>
              </w:sdtContent>
            </w:sdt>
            <w:tc>
              <w:tcPr>
                <w:tcW w:w="1765" w:type="dxa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D218B1" w:rsidRPr="0015573F" w:rsidRDefault="00D218B1" w:rsidP="00455D38">
                <w:pPr>
                  <w:pStyle w:val="NoSpacing"/>
                  <w:jc w:val="both"/>
                  <w:rPr>
                    <w:rFonts w:eastAsiaTheme="majorEastAsia" w:cstheme="minorHAnsi"/>
                    <w:b/>
                    <w:bCs/>
                    <w:color w:val="17365D" w:themeColor="text2" w:themeShade="BF"/>
                    <w:sz w:val="24"/>
                    <w:szCs w:val="24"/>
                  </w:rPr>
                </w:pPr>
              </w:p>
            </w:tc>
          </w:tr>
        </w:tbl>
        <w:p w:rsidR="00C77D22" w:rsidRPr="0015573F" w:rsidRDefault="00C77D22" w:rsidP="00C77D2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bCs/>
              <w:color w:val="17365D" w:themeColor="text2" w:themeShade="BF"/>
              <w:sz w:val="52"/>
              <w:szCs w:val="52"/>
            </w:rPr>
          </w:pPr>
        </w:p>
        <w:p w:rsidR="00C77D22" w:rsidRPr="0015573F" w:rsidRDefault="00C77D22" w:rsidP="00C77D2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bCs/>
              <w:color w:val="17365D" w:themeColor="text2" w:themeShade="BF"/>
              <w:sz w:val="52"/>
              <w:szCs w:val="52"/>
            </w:rPr>
          </w:pPr>
        </w:p>
        <w:p w:rsidR="00C77D22" w:rsidRPr="0015573F" w:rsidRDefault="00C77D22" w:rsidP="00C77D2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bCs/>
              <w:color w:val="17365D" w:themeColor="text2" w:themeShade="BF"/>
              <w:sz w:val="52"/>
              <w:szCs w:val="52"/>
            </w:rPr>
          </w:pPr>
        </w:p>
        <w:p w:rsidR="00C77D22" w:rsidRPr="0015573F" w:rsidRDefault="00C77D22" w:rsidP="00C77D2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bCs/>
              <w:color w:val="17365D" w:themeColor="text2" w:themeShade="BF"/>
              <w:sz w:val="52"/>
              <w:szCs w:val="52"/>
            </w:rPr>
          </w:pPr>
        </w:p>
        <w:p w:rsidR="00791B9A" w:rsidRDefault="00791B9A" w:rsidP="00C77D22">
          <w:pPr>
            <w:jc w:val="center"/>
            <w:rPr>
              <w:rFonts w:cstheme="minorHAnsi"/>
              <w:smallCaps/>
              <w:color w:val="17365D" w:themeColor="text2" w:themeShade="BF"/>
              <w:sz w:val="24"/>
              <w:szCs w:val="24"/>
            </w:rPr>
          </w:pPr>
        </w:p>
        <w:p w:rsidR="00791B9A" w:rsidRDefault="00791B9A" w:rsidP="00C77D22">
          <w:pPr>
            <w:jc w:val="center"/>
            <w:rPr>
              <w:rFonts w:cstheme="minorHAnsi"/>
              <w:smallCaps/>
              <w:color w:val="17365D" w:themeColor="text2" w:themeShade="BF"/>
              <w:sz w:val="24"/>
              <w:szCs w:val="24"/>
            </w:rPr>
          </w:pPr>
        </w:p>
        <w:p w:rsidR="00805D25" w:rsidRPr="0015573F" w:rsidRDefault="003C4DD8" w:rsidP="00C77D22">
          <w:pPr>
            <w:jc w:val="center"/>
            <w:rPr>
              <w:rFonts w:cstheme="minorHAnsi"/>
              <w:smallCaps/>
              <w:color w:val="17365D" w:themeColor="text2" w:themeShade="BF"/>
              <w:sz w:val="24"/>
              <w:szCs w:val="24"/>
            </w:rPr>
          </w:pPr>
        </w:p>
      </w:sdtContent>
    </w:sdt>
    <w:p w:rsidR="008409FB" w:rsidRDefault="008409FB" w:rsidP="00F1576E">
      <w:pPr>
        <w:pStyle w:val="ListParagraph"/>
        <w:spacing w:after="0" w:line="240" w:lineRule="auto"/>
        <w:ind w:left="1224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:rsidR="005C3721" w:rsidRDefault="005C3721" w:rsidP="00F1576E">
      <w:pPr>
        <w:pStyle w:val="ListParagraph"/>
        <w:spacing w:after="0" w:line="240" w:lineRule="auto"/>
        <w:ind w:left="1224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:rsidR="005C3721" w:rsidRDefault="005C3721" w:rsidP="00F1576E">
      <w:pPr>
        <w:pStyle w:val="ListParagraph"/>
        <w:spacing w:after="0" w:line="240" w:lineRule="auto"/>
        <w:ind w:left="1224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:rsidR="005C3721" w:rsidRPr="00B71013" w:rsidRDefault="005C3721" w:rsidP="005C3721">
      <w:pPr>
        <w:rPr>
          <w:rFonts w:cs="Calibri"/>
          <w:b/>
          <w:bCs/>
          <w:sz w:val="10"/>
          <w:szCs w:val="10"/>
        </w:rPr>
      </w:pPr>
    </w:p>
    <w:p w:rsidR="005C3721" w:rsidRPr="00991218" w:rsidRDefault="005C3721" w:rsidP="009155B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color w:val="17365D" w:themeColor="text2" w:themeShade="BF"/>
          <w:sz w:val="28"/>
          <w:szCs w:val="28"/>
        </w:rPr>
      </w:pPr>
      <w:r w:rsidRPr="00991218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Purpose of this Document.</w:t>
      </w:r>
    </w:p>
    <w:p w:rsidR="005C3721" w:rsidRPr="00660527" w:rsidRDefault="005C3721" w:rsidP="005C3721">
      <w:pPr>
        <w:pStyle w:val="ListParagraph"/>
        <w:spacing w:after="0" w:line="240" w:lineRule="auto"/>
        <w:ind w:left="360"/>
        <w:jc w:val="both"/>
        <w:rPr>
          <w:rFonts w:cstheme="minorHAnsi"/>
          <w:b/>
          <w:color w:val="17365D" w:themeColor="text2" w:themeShade="BF"/>
          <w:sz w:val="14"/>
          <w:szCs w:val="14"/>
        </w:rPr>
      </w:pPr>
    </w:p>
    <w:p w:rsidR="00A8737A" w:rsidRDefault="00BC42FC" w:rsidP="009F547A">
      <w:pPr>
        <w:pStyle w:val="ListParagraph"/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BC42FC">
        <w:rPr>
          <w:rFonts w:cstheme="minorHAnsi"/>
          <w:color w:val="17365D" w:themeColor="text2" w:themeShade="BF"/>
          <w:sz w:val="24"/>
          <w:szCs w:val="24"/>
        </w:rPr>
        <w:t xml:space="preserve">This </w:t>
      </w:r>
      <w:r w:rsidRPr="0036439A">
        <w:rPr>
          <w:rFonts w:cstheme="minorHAnsi"/>
          <w:color w:val="17365D" w:themeColor="text2" w:themeShade="BF"/>
          <w:sz w:val="24"/>
          <w:szCs w:val="24"/>
        </w:rPr>
        <w:t>Addendum</w:t>
      </w:r>
      <w:r w:rsidRPr="00BC42FC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proofErr w:type="gramStart"/>
      <w:r w:rsidR="0098001D">
        <w:rPr>
          <w:rFonts w:cstheme="minorHAnsi"/>
          <w:color w:val="17365D" w:themeColor="text2" w:themeShade="BF"/>
          <w:sz w:val="24"/>
          <w:szCs w:val="24"/>
        </w:rPr>
        <w:t>is</w:t>
      </w:r>
      <w:r w:rsidRPr="00BC42FC">
        <w:rPr>
          <w:rFonts w:cstheme="minorHAnsi"/>
          <w:color w:val="17365D" w:themeColor="text2" w:themeShade="BF"/>
          <w:sz w:val="24"/>
          <w:szCs w:val="24"/>
        </w:rPr>
        <w:t xml:space="preserve"> issued</w:t>
      </w:r>
      <w:proofErr w:type="gramEnd"/>
      <w:r w:rsidR="00086477">
        <w:rPr>
          <w:rFonts w:cstheme="minorHAnsi"/>
          <w:color w:val="17365D" w:themeColor="text2" w:themeShade="BF"/>
          <w:sz w:val="24"/>
          <w:szCs w:val="24"/>
        </w:rPr>
        <w:t xml:space="preserve"> to int</w:t>
      </w:r>
      <w:r w:rsidR="00725E28">
        <w:rPr>
          <w:rFonts w:cstheme="minorHAnsi"/>
          <w:color w:val="17365D" w:themeColor="text2" w:themeShade="BF"/>
          <w:sz w:val="24"/>
          <w:szCs w:val="24"/>
        </w:rPr>
        <w:t xml:space="preserve">roduce new </w:t>
      </w:r>
      <w:r w:rsidR="0012294B">
        <w:rPr>
          <w:rFonts w:cstheme="minorHAnsi"/>
          <w:color w:val="17365D" w:themeColor="text2" w:themeShade="BF"/>
          <w:sz w:val="24"/>
          <w:szCs w:val="24"/>
        </w:rPr>
        <w:t xml:space="preserve">service </w:t>
      </w:r>
      <w:r w:rsidR="0016279F">
        <w:rPr>
          <w:rFonts w:cstheme="minorHAnsi"/>
          <w:color w:val="17365D" w:themeColor="text2" w:themeShade="BF"/>
          <w:sz w:val="24"/>
          <w:szCs w:val="24"/>
        </w:rPr>
        <w:t xml:space="preserve">codes </w:t>
      </w:r>
      <w:r w:rsidR="00086477">
        <w:rPr>
          <w:rFonts w:cstheme="minorHAnsi"/>
          <w:color w:val="17365D" w:themeColor="text2" w:themeShade="BF"/>
          <w:sz w:val="24"/>
          <w:szCs w:val="24"/>
        </w:rPr>
        <w:t>for</w:t>
      </w:r>
      <w:r w:rsidR="00BF49AF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9F547A">
        <w:rPr>
          <w:rFonts w:cstheme="minorHAnsi"/>
          <w:color w:val="17365D" w:themeColor="text2" w:themeShade="BF"/>
          <w:sz w:val="24"/>
          <w:szCs w:val="24"/>
        </w:rPr>
        <w:t>Comprehensive Screening</w:t>
      </w:r>
      <w:r w:rsidR="00BF49AF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9F547A">
        <w:rPr>
          <w:rFonts w:cstheme="minorHAnsi"/>
          <w:color w:val="17365D" w:themeColor="text2" w:themeShade="BF"/>
          <w:sz w:val="24"/>
          <w:szCs w:val="24"/>
        </w:rPr>
        <w:t>P</w:t>
      </w:r>
      <w:r w:rsidR="0016279F">
        <w:rPr>
          <w:rFonts w:cstheme="minorHAnsi"/>
          <w:color w:val="17365D" w:themeColor="text2" w:themeShade="BF"/>
          <w:sz w:val="24"/>
          <w:szCs w:val="24"/>
        </w:rPr>
        <w:t>rogram</w:t>
      </w:r>
      <w:r w:rsidR="009F547A">
        <w:rPr>
          <w:rFonts w:cstheme="minorHAnsi"/>
          <w:color w:val="17365D" w:themeColor="text2" w:themeShade="BF"/>
          <w:sz w:val="24"/>
          <w:szCs w:val="24"/>
        </w:rPr>
        <w:t xml:space="preserve"> </w:t>
      </w:r>
    </w:p>
    <w:p w:rsidR="00CE2F35" w:rsidRPr="0036439A" w:rsidRDefault="00CE2F35" w:rsidP="00A8737A">
      <w:pPr>
        <w:pStyle w:val="ListParagraph"/>
        <w:spacing w:after="0" w:line="240" w:lineRule="auto"/>
        <w:ind w:left="792" w:hanging="72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:rsidR="005C3721" w:rsidRPr="00991218" w:rsidRDefault="006B2530" w:rsidP="009155B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color w:val="17365D" w:themeColor="text2" w:themeShade="BF"/>
          <w:sz w:val="28"/>
          <w:szCs w:val="28"/>
        </w:rPr>
      </w:pPr>
      <w:r>
        <w:rPr>
          <w:rFonts w:cstheme="minorHAnsi"/>
          <w:b/>
          <w:color w:val="17365D" w:themeColor="text2" w:themeShade="BF"/>
          <w:sz w:val="28"/>
          <w:szCs w:val="28"/>
        </w:rPr>
        <w:t>E</w:t>
      </w:r>
      <w:r w:rsidR="005C3721" w:rsidRPr="00991218">
        <w:rPr>
          <w:rFonts w:cstheme="minorHAnsi"/>
          <w:b/>
          <w:color w:val="17365D" w:themeColor="text2" w:themeShade="BF"/>
          <w:sz w:val="28"/>
          <w:szCs w:val="28"/>
        </w:rPr>
        <w:t xml:space="preserve">ffective Date: </w:t>
      </w:r>
    </w:p>
    <w:p w:rsidR="005C3721" w:rsidRDefault="005C3721" w:rsidP="005C3721">
      <w:pPr>
        <w:pStyle w:val="ListParagraph"/>
        <w:ind w:left="360"/>
        <w:rPr>
          <w:rFonts w:cs="Calibri"/>
          <w:sz w:val="14"/>
          <w:szCs w:val="14"/>
        </w:rPr>
      </w:pPr>
    </w:p>
    <w:p w:rsidR="0040699E" w:rsidRPr="00660527" w:rsidRDefault="0040699E" w:rsidP="005C3721">
      <w:pPr>
        <w:pStyle w:val="ListParagraph"/>
        <w:ind w:left="360"/>
        <w:rPr>
          <w:rFonts w:cs="Calibri"/>
          <w:sz w:val="14"/>
          <w:szCs w:val="14"/>
        </w:rPr>
      </w:pPr>
    </w:p>
    <w:p w:rsidR="00B42DA8" w:rsidRDefault="004D11EC" w:rsidP="009C58C3">
      <w:pPr>
        <w:pStyle w:val="ListParagraph"/>
        <w:spacing w:after="0" w:line="240" w:lineRule="auto"/>
        <w:ind w:left="792" w:hanging="72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9C58C3">
        <w:rPr>
          <w:rFonts w:cstheme="minorHAnsi"/>
          <w:color w:val="17365D" w:themeColor="text2" w:themeShade="BF"/>
          <w:sz w:val="24"/>
          <w:szCs w:val="24"/>
          <w:highlight w:val="yellow"/>
        </w:rPr>
        <w:t>1</w:t>
      </w:r>
      <w:r w:rsidR="009C58C3" w:rsidRPr="009C58C3">
        <w:rPr>
          <w:rFonts w:cstheme="minorHAnsi"/>
          <w:color w:val="17365D" w:themeColor="text2" w:themeShade="BF"/>
          <w:sz w:val="24"/>
          <w:szCs w:val="24"/>
          <w:highlight w:val="yellow"/>
        </w:rPr>
        <w:t>4</w:t>
      </w:r>
      <w:r w:rsidRPr="009C58C3">
        <w:rPr>
          <w:rFonts w:cstheme="minorHAnsi"/>
          <w:color w:val="17365D" w:themeColor="text2" w:themeShade="BF"/>
          <w:sz w:val="24"/>
          <w:szCs w:val="24"/>
          <w:highlight w:val="yellow"/>
        </w:rPr>
        <w:t xml:space="preserve"> </w:t>
      </w:r>
      <w:r w:rsidR="009C58C3" w:rsidRPr="009C58C3">
        <w:rPr>
          <w:rFonts w:cstheme="minorHAnsi"/>
          <w:color w:val="17365D" w:themeColor="text2" w:themeShade="BF"/>
          <w:sz w:val="24"/>
          <w:szCs w:val="24"/>
          <w:highlight w:val="yellow"/>
        </w:rPr>
        <w:t>January</w:t>
      </w:r>
      <w:r w:rsidRPr="009C58C3">
        <w:rPr>
          <w:rFonts w:cstheme="minorHAnsi"/>
          <w:color w:val="17365D" w:themeColor="text2" w:themeShade="BF"/>
          <w:sz w:val="24"/>
          <w:szCs w:val="24"/>
          <w:highlight w:val="yellow"/>
        </w:rPr>
        <w:t xml:space="preserve"> 202</w:t>
      </w:r>
      <w:r w:rsidR="009C58C3" w:rsidRPr="009C58C3">
        <w:rPr>
          <w:rFonts w:cstheme="minorHAnsi"/>
          <w:color w:val="17365D" w:themeColor="text2" w:themeShade="BF"/>
          <w:sz w:val="24"/>
          <w:szCs w:val="24"/>
          <w:highlight w:val="yellow"/>
        </w:rPr>
        <w:t>1</w:t>
      </w:r>
      <w:r w:rsidR="00082E31" w:rsidRPr="009C58C3">
        <w:rPr>
          <w:rFonts w:cstheme="minorHAnsi"/>
          <w:color w:val="17365D" w:themeColor="text2" w:themeShade="BF"/>
          <w:sz w:val="24"/>
          <w:szCs w:val="24"/>
          <w:highlight w:val="yellow"/>
        </w:rPr>
        <w:t>.</w:t>
      </w:r>
      <w:bookmarkStart w:id="0" w:name="_GoBack"/>
      <w:bookmarkEnd w:id="0"/>
    </w:p>
    <w:p w:rsidR="00082E31" w:rsidRPr="00660527" w:rsidRDefault="00082E31" w:rsidP="007D65F8">
      <w:pPr>
        <w:pStyle w:val="ListParagraph"/>
        <w:spacing w:after="0" w:line="240" w:lineRule="auto"/>
        <w:ind w:left="792" w:hanging="72"/>
        <w:jc w:val="both"/>
        <w:rPr>
          <w:rFonts w:cstheme="minorHAnsi"/>
          <w:color w:val="17365D" w:themeColor="text2" w:themeShade="BF"/>
          <w:sz w:val="14"/>
          <w:szCs w:val="14"/>
        </w:rPr>
      </w:pPr>
    </w:p>
    <w:p w:rsidR="00680F9C" w:rsidRDefault="006A1529" w:rsidP="009155B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color w:val="17365D" w:themeColor="text2" w:themeShade="BF"/>
          <w:sz w:val="28"/>
          <w:szCs w:val="28"/>
        </w:rPr>
      </w:pPr>
      <w:r>
        <w:rPr>
          <w:rFonts w:cstheme="minorHAnsi"/>
          <w:b/>
          <w:color w:val="17365D" w:themeColor="text2" w:themeShade="BF"/>
          <w:sz w:val="28"/>
          <w:szCs w:val="28"/>
        </w:rPr>
        <w:t>Service Code</w:t>
      </w:r>
      <w:r w:rsidR="00B8591E">
        <w:rPr>
          <w:rFonts w:cstheme="minorHAnsi"/>
          <w:b/>
          <w:color w:val="17365D" w:themeColor="text2" w:themeShade="BF"/>
          <w:sz w:val="28"/>
          <w:szCs w:val="28"/>
        </w:rPr>
        <w:t>s</w:t>
      </w:r>
      <w:r w:rsidR="00656FFA">
        <w:rPr>
          <w:rFonts w:cstheme="minorHAnsi"/>
          <w:b/>
          <w:color w:val="17365D" w:themeColor="text2" w:themeShade="BF"/>
          <w:sz w:val="28"/>
          <w:szCs w:val="28"/>
        </w:rPr>
        <w:t xml:space="preserve">: </w:t>
      </w:r>
    </w:p>
    <w:p w:rsidR="0040699E" w:rsidRDefault="0040699E" w:rsidP="0040699E">
      <w:pPr>
        <w:pStyle w:val="ListParagraph"/>
        <w:spacing w:after="0" w:line="360" w:lineRule="auto"/>
        <w:ind w:left="360"/>
        <w:jc w:val="both"/>
        <w:rPr>
          <w:rFonts w:cstheme="minorHAnsi"/>
          <w:b/>
          <w:color w:val="17365D" w:themeColor="text2" w:themeShade="BF"/>
          <w:sz w:val="28"/>
          <w:szCs w:val="28"/>
        </w:rPr>
      </w:pPr>
    </w:p>
    <w:tbl>
      <w:tblPr>
        <w:tblStyle w:val="LightGrid-Accent1"/>
        <w:tblW w:w="5000" w:type="pct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3154"/>
        <w:gridCol w:w="5486"/>
      </w:tblGrid>
      <w:tr w:rsidR="00402F35" w:rsidRPr="00042B09" w:rsidTr="00406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pct"/>
            <w:shd w:val="clear" w:color="auto" w:fill="244061" w:themeFill="accent1" w:themeFillShade="80"/>
            <w:vAlign w:val="center"/>
            <w:hideMark/>
          </w:tcPr>
          <w:p w:rsidR="00402F35" w:rsidRPr="00042B09" w:rsidRDefault="00402F35" w:rsidP="00402F35">
            <w:pPr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042B09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>Code</w:t>
            </w:r>
          </w:p>
        </w:tc>
        <w:tc>
          <w:tcPr>
            <w:tcW w:w="1609" w:type="pct"/>
            <w:shd w:val="clear" w:color="auto" w:fill="244061" w:themeFill="accent1" w:themeFillShade="80"/>
            <w:vAlign w:val="center"/>
            <w:hideMark/>
          </w:tcPr>
          <w:p w:rsidR="00402F35" w:rsidRPr="00042B09" w:rsidRDefault="00402F35" w:rsidP="00402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042B09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>Short Code Description</w:t>
            </w:r>
          </w:p>
        </w:tc>
        <w:tc>
          <w:tcPr>
            <w:tcW w:w="2799" w:type="pct"/>
            <w:shd w:val="clear" w:color="auto" w:fill="244061" w:themeFill="accent1" w:themeFillShade="80"/>
            <w:vAlign w:val="center"/>
          </w:tcPr>
          <w:p w:rsidR="00402F35" w:rsidRPr="00042B09" w:rsidRDefault="00402F35" w:rsidP="00402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042B09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>Long Code Description</w:t>
            </w:r>
          </w:p>
        </w:tc>
      </w:tr>
      <w:tr w:rsidR="00402F35" w:rsidRPr="00042B09" w:rsidTr="0040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pct"/>
          </w:tcPr>
          <w:p w:rsidR="00402F35" w:rsidRPr="00042B09" w:rsidRDefault="00402F35" w:rsidP="00402F35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b w:val="0"/>
                <w:bCs w:val="0"/>
                <w:kern w:val="24"/>
                <w:sz w:val="18"/>
                <w:szCs w:val="18"/>
              </w:rPr>
            </w:pPr>
            <w:r w:rsidRPr="00042B09">
              <w:rPr>
                <w:rFonts w:ascii="Calibri" w:hAnsi="Calibri" w:cs="Arial"/>
                <w:b w:val="0"/>
                <w:bCs w:val="0"/>
                <w:kern w:val="24"/>
                <w:sz w:val="18"/>
                <w:szCs w:val="18"/>
              </w:rPr>
              <w:t>52-01</w:t>
            </w:r>
          </w:p>
        </w:tc>
        <w:tc>
          <w:tcPr>
            <w:tcW w:w="1609" w:type="pct"/>
          </w:tcPr>
          <w:p w:rsidR="00402F35" w:rsidRPr="00042B09" w:rsidRDefault="00402F35" w:rsidP="00402F35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Comprehensive Screening Package for Young adults (male and female ages 18-39 years)</w:t>
            </w:r>
          </w:p>
        </w:tc>
        <w:tc>
          <w:tcPr>
            <w:tcW w:w="2799" w:type="pct"/>
          </w:tcPr>
          <w:p w:rsidR="00402F35" w:rsidRPr="00042B09" w:rsidRDefault="00402F35" w:rsidP="00402F35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Comprehensive Screening Package for Young adults (male and female ages 18-39 years) including the following services</w:t>
            </w:r>
          </w:p>
          <w:p w:rsidR="00402F35" w:rsidRPr="00042B09" w:rsidRDefault="00402F35" w:rsidP="00402F35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 xml:space="preserve">Every 3 years: </w:t>
            </w:r>
          </w:p>
          <w:p w:rsidR="00402F35" w:rsidRPr="00042B09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99201</w:t>
            </w:r>
          </w:p>
          <w:p w:rsidR="00402F35" w:rsidRPr="00042B09" w:rsidRDefault="00402F35" w:rsidP="00402F35">
            <w:pPr>
              <w:pStyle w:val="NormalWeb"/>
              <w:numPr>
                <w:ilvl w:val="0"/>
                <w:numId w:val="1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36415</w:t>
            </w:r>
          </w:p>
          <w:p w:rsidR="00402F35" w:rsidRPr="00042B09" w:rsidRDefault="00402F35" w:rsidP="00402F35">
            <w:pPr>
              <w:pStyle w:val="NormalWeb"/>
              <w:numPr>
                <w:ilvl w:val="0"/>
                <w:numId w:val="1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82947</w:t>
            </w:r>
          </w:p>
          <w:p w:rsidR="00402F35" w:rsidRPr="00042B09" w:rsidRDefault="00402F35" w:rsidP="00402F35">
            <w:pPr>
              <w:pStyle w:val="NormalWeb"/>
              <w:numPr>
                <w:ilvl w:val="0"/>
                <w:numId w:val="1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83036</w:t>
            </w:r>
          </w:p>
          <w:p w:rsidR="00402F35" w:rsidRPr="00042B09" w:rsidRDefault="00402F35" w:rsidP="00402F35">
            <w:pPr>
              <w:pStyle w:val="NormalWeb"/>
              <w:numPr>
                <w:ilvl w:val="0"/>
                <w:numId w:val="1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80061</w:t>
            </w:r>
          </w:p>
          <w:p w:rsidR="00402F35" w:rsidRPr="00042B09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82565</w:t>
            </w:r>
          </w:p>
          <w:p w:rsidR="00402F35" w:rsidRPr="00042B09" w:rsidRDefault="00402F35" w:rsidP="00402F35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 xml:space="preserve">Annual: </w:t>
            </w:r>
          </w:p>
          <w:p w:rsidR="00402F35" w:rsidRPr="00042B09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01103</w:t>
            </w:r>
          </w:p>
          <w:p w:rsidR="00402F35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13211</w:t>
            </w:r>
          </w:p>
          <w:p w:rsidR="0040699E" w:rsidRPr="00042B09" w:rsidRDefault="0040699E" w:rsidP="0040699E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</w:p>
        </w:tc>
      </w:tr>
      <w:tr w:rsidR="00402F35" w:rsidRPr="00042B09" w:rsidTr="00406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pct"/>
          </w:tcPr>
          <w:p w:rsidR="00402F35" w:rsidRPr="00042B09" w:rsidRDefault="00402F35" w:rsidP="00402F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42B09">
              <w:rPr>
                <w:rFonts w:ascii="Calibri" w:hAnsi="Calibri" w:cs="Arial"/>
                <w:b w:val="0"/>
                <w:bCs w:val="0"/>
                <w:kern w:val="24"/>
                <w:sz w:val="18"/>
                <w:szCs w:val="18"/>
              </w:rPr>
              <w:t>52-02</w:t>
            </w:r>
          </w:p>
        </w:tc>
        <w:tc>
          <w:tcPr>
            <w:tcW w:w="1609" w:type="pct"/>
          </w:tcPr>
          <w:p w:rsidR="00402F35" w:rsidRPr="00042B09" w:rsidRDefault="00402F35" w:rsidP="00402F35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Comprehensive screening package for male adults (age 40-64 years old)</w:t>
            </w:r>
          </w:p>
        </w:tc>
        <w:tc>
          <w:tcPr>
            <w:tcW w:w="2799" w:type="pct"/>
          </w:tcPr>
          <w:p w:rsidR="00402F35" w:rsidRPr="00042B09" w:rsidRDefault="00402F35" w:rsidP="00402F35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Comprehensive screening package for male adults (age 40-64 years old) including the following services</w:t>
            </w:r>
          </w:p>
          <w:p w:rsidR="00402F35" w:rsidRPr="00042B09" w:rsidRDefault="00402F35" w:rsidP="00402F35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bCs/>
                <w:kern w:val="24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Every 3 years</w:t>
            </w:r>
          </w:p>
          <w:p w:rsidR="00402F35" w:rsidRPr="00042B09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99201</w:t>
            </w:r>
          </w:p>
          <w:p w:rsidR="00402F35" w:rsidRPr="00232215" w:rsidRDefault="00402F35" w:rsidP="00402F35">
            <w:pPr>
              <w:pStyle w:val="NormalWeb"/>
              <w:numPr>
                <w:ilvl w:val="0"/>
                <w:numId w:val="10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36415</w:t>
            </w:r>
          </w:p>
          <w:p w:rsidR="00402F35" w:rsidRPr="00232215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82947</w:t>
            </w:r>
          </w:p>
          <w:p w:rsidR="00402F35" w:rsidRPr="00232215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83036</w:t>
            </w:r>
          </w:p>
          <w:p w:rsidR="00402F35" w:rsidRPr="00232215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80061</w:t>
            </w:r>
          </w:p>
          <w:p w:rsidR="00402F35" w:rsidRPr="00232215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bCs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82565</w:t>
            </w:r>
          </w:p>
          <w:p w:rsidR="00402F35" w:rsidRPr="00232215" w:rsidRDefault="00402F35" w:rsidP="00402F35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 xml:space="preserve">Annual: </w:t>
            </w:r>
          </w:p>
          <w:p w:rsidR="00402F35" w:rsidRPr="00232215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82274</w:t>
            </w:r>
          </w:p>
          <w:p w:rsidR="00402F35" w:rsidRPr="00232215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01103</w:t>
            </w:r>
          </w:p>
          <w:p w:rsidR="00402F35" w:rsidRPr="00232215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bCs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13211</w:t>
            </w:r>
          </w:p>
          <w:p w:rsidR="0040699E" w:rsidRPr="00042B09" w:rsidRDefault="0040699E" w:rsidP="0040699E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bCs/>
                <w:kern w:val="24"/>
                <w:sz w:val="18"/>
                <w:szCs w:val="18"/>
              </w:rPr>
            </w:pPr>
          </w:p>
        </w:tc>
      </w:tr>
      <w:tr w:rsidR="00402F35" w:rsidRPr="00042B09" w:rsidTr="0040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pct"/>
          </w:tcPr>
          <w:p w:rsidR="00402F35" w:rsidRPr="00042B09" w:rsidRDefault="00402F35" w:rsidP="00402F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42B09">
              <w:rPr>
                <w:rFonts w:ascii="Calibri" w:hAnsi="Calibri" w:cs="Arial"/>
                <w:b w:val="0"/>
                <w:bCs w:val="0"/>
                <w:kern w:val="24"/>
                <w:sz w:val="18"/>
                <w:szCs w:val="18"/>
              </w:rPr>
              <w:lastRenderedPageBreak/>
              <w:t>52-03</w:t>
            </w:r>
          </w:p>
        </w:tc>
        <w:tc>
          <w:tcPr>
            <w:tcW w:w="1609" w:type="pct"/>
          </w:tcPr>
          <w:p w:rsidR="00402F35" w:rsidRPr="00042B09" w:rsidRDefault="00402F35" w:rsidP="00402F35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Comprehensive screening package for female adults (age 40-64 years old)</w:t>
            </w:r>
          </w:p>
        </w:tc>
        <w:tc>
          <w:tcPr>
            <w:tcW w:w="2799" w:type="pct"/>
          </w:tcPr>
          <w:p w:rsidR="00402F35" w:rsidRPr="00232215" w:rsidRDefault="00402F35" w:rsidP="00402F35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Comprehensive screening package for female adults (age 40-64 years old) including the following services</w:t>
            </w:r>
          </w:p>
          <w:p w:rsidR="00402F35" w:rsidRPr="00232215" w:rsidRDefault="00402F35" w:rsidP="00402F35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Every 3 years</w:t>
            </w:r>
          </w:p>
          <w:p w:rsidR="00402F35" w:rsidRPr="00232215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99201</w:t>
            </w:r>
          </w:p>
          <w:p w:rsidR="00402F35" w:rsidRPr="00232215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36415</w:t>
            </w:r>
          </w:p>
          <w:p w:rsidR="00402F35" w:rsidRPr="00232215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82947</w:t>
            </w:r>
          </w:p>
          <w:p w:rsidR="00402F35" w:rsidRPr="00232215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83036</w:t>
            </w:r>
          </w:p>
          <w:p w:rsidR="00402F35" w:rsidRPr="00232215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80061</w:t>
            </w:r>
          </w:p>
          <w:p w:rsidR="00402F35" w:rsidRPr="00232215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82565</w:t>
            </w:r>
          </w:p>
          <w:p w:rsidR="00402F35" w:rsidRPr="00232215" w:rsidRDefault="00402F35" w:rsidP="00402F35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Every 2 Years:</w:t>
            </w:r>
          </w:p>
          <w:p w:rsidR="00402F35" w:rsidRPr="00232215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77057</w:t>
            </w:r>
          </w:p>
          <w:p w:rsidR="00402F35" w:rsidRPr="00232215" w:rsidRDefault="00402F35" w:rsidP="00402F35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Annual</w:t>
            </w:r>
          </w:p>
          <w:p w:rsidR="00402F35" w:rsidRPr="00232215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01103</w:t>
            </w:r>
          </w:p>
          <w:p w:rsidR="00402F35" w:rsidRPr="00232215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13211</w:t>
            </w:r>
          </w:p>
          <w:p w:rsidR="0040699E" w:rsidRPr="00232215" w:rsidRDefault="0040699E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82274</w:t>
            </w:r>
          </w:p>
        </w:tc>
      </w:tr>
      <w:tr w:rsidR="00402F35" w:rsidRPr="00042B09" w:rsidTr="00406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pct"/>
          </w:tcPr>
          <w:p w:rsidR="00402F35" w:rsidRPr="00042B09" w:rsidRDefault="00402F35" w:rsidP="00402F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42B09">
              <w:rPr>
                <w:rFonts w:ascii="Calibri" w:hAnsi="Calibri" w:cs="Arial"/>
                <w:b w:val="0"/>
                <w:bCs w:val="0"/>
                <w:kern w:val="24"/>
                <w:sz w:val="18"/>
                <w:szCs w:val="18"/>
              </w:rPr>
              <w:t>52-04</w:t>
            </w:r>
          </w:p>
        </w:tc>
        <w:tc>
          <w:tcPr>
            <w:tcW w:w="1609" w:type="pct"/>
          </w:tcPr>
          <w:p w:rsidR="00402F35" w:rsidRPr="00042B09" w:rsidRDefault="00402F35" w:rsidP="00402F35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Comprehensive screening package  for Senior male adults (age 65-75 years old)</w:t>
            </w:r>
          </w:p>
        </w:tc>
        <w:tc>
          <w:tcPr>
            <w:tcW w:w="2799" w:type="pct"/>
          </w:tcPr>
          <w:p w:rsidR="00402F35" w:rsidRPr="00232215" w:rsidRDefault="00402F35" w:rsidP="00402F35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Comprehensive screening package  for Senior male adults (age 65-75 years old) including the following services</w:t>
            </w:r>
          </w:p>
          <w:p w:rsidR="00402F35" w:rsidRPr="00232215" w:rsidRDefault="00402F35" w:rsidP="00402F35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Every 3 years</w:t>
            </w:r>
          </w:p>
          <w:p w:rsidR="00402F35" w:rsidRPr="00232215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99201</w:t>
            </w:r>
          </w:p>
          <w:p w:rsidR="00402F35" w:rsidRPr="00232215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36415</w:t>
            </w:r>
          </w:p>
          <w:p w:rsidR="00402F35" w:rsidRPr="00232215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82947</w:t>
            </w:r>
          </w:p>
          <w:p w:rsidR="00402F35" w:rsidRPr="00232215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83036</w:t>
            </w:r>
          </w:p>
          <w:p w:rsidR="00402F35" w:rsidRPr="00232215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80061</w:t>
            </w:r>
          </w:p>
          <w:p w:rsidR="00402F35" w:rsidRPr="00232215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82565</w:t>
            </w:r>
          </w:p>
          <w:p w:rsidR="00402F35" w:rsidRPr="00232215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77080</w:t>
            </w:r>
          </w:p>
          <w:p w:rsidR="00402F35" w:rsidRPr="00232215" w:rsidRDefault="00402F35" w:rsidP="00402F35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 xml:space="preserve">Annual: </w:t>
            </w:r>
          </w:p>
          <w:p w:rsidR="00402F35" w:rsidRPr="00232215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82274</w:t>
            </w:r>
          </w:p>
          <w:p w:rsidR="00402F35" w:rsidRPr="00232215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01103</w:t>
            </w:r>
          </w:p>
          <w:p w:rsidR="00402F35" w:rsidRPr="00232215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13211</w:t>
            </w:r>
          </w:p>
          <w:p w:rsidR="00402F35" w:rsidRPr="00232215" w:rsidRDefault="00402F35" w:rsidP="00402F35">
            <w:pPr>
              <w:pStyle w:val="NormalWeb"/>
              <w:numPr>
                <w:ilvl w:val="0"/>
                <w:numId w:val="10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92553</w:t>
            </w:r>
          </w:p>
          <w:p w:rsidR="00402F35" w:rsidRPr="00232215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99173</w:t>
            </w:r>
          </w:p>
          <w:p w:rsidR="00402F35" w:rsidRPr="00232215" w:rsidRDefault="00402F35" w:rsidP="00402F35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bCs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once in life</w:t>
            </w:r>
          </w:p>
          <w:p w:rsidR="00402F35" w:rsidRPr="00232215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theme="minorBidi"/>
                <w:color w:val="000000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76700</w:t>
            </w:r>
          </w:p>
        </w:tc>
      </w:tr>
      <w:tr w:rsidR="00402F35" w:rsidRPr="00042B09" w:rsidTr="0040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pct"/>
          </w:tcPr>
          <w:p w:rsidR="00402F35" w:rsidRPr="00042B09" w:rsidRDefault="00402F35" w:rsidP="00402F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42B09">
              <w:rPr>
                <w:rFonts w:ascii="Calibri" w:hAnsi="Calibri" w:cs="Arial"/>
                <w:b w:val="0"/>
                <w:bCs w:val="0"/>
                <w:kern w:val="24"/>
                <w:sz w:val="18"/>
                <w:szCs w:val="18"/>
              </w:rPr>
              <w:t>52-05</w:t>
            </w:r>
          </w:p>
        </w:tc>
        <w:tc>
          <w:tcPr>
            <w:tcW w:w="1609" w:type="pct"/>
          </w:tcPr>
          <w:p w:rsidR="00402F35" w:rsidRPr="00042B09" w:rsidRDefault="00402F35" w:rsidP="00402F35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Comprehensive screening package  for Senior Female  adults (age 65-75 years old)</w:t>
            </w:r>
          </w:p>
        </w:tc>
        <w:tc>
          <w:tcPr>
            <w:tcW w:w="2799" w:type="pct"/>
          </w:tcPr>
          <w:p w:rsidR="00402F35" w:rsidRPr="00042B09" w:rsidRDefault="00402F35" w:rsidP="00402F35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Comprehensive screening package  for Senior Female  adults (age 65-75 years old) including the following services</w:t>
            </w:r>
          </w:p>
          <w:p w:rsidR="00402F35" w:rsidRPr="00042B09" w:rsidRDefault="00402F35" w:rsidP="00402F35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Every 3 years:</w:t>
            </w:r>
          </w:p>
          <w:p w:rsidR="00402F35" w:rsidRPr="00042B09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99201</w:t>
            </w:r>
          </w:p>
          <w:p w:rsidR="00402F35" w:rsidRPr="00042B09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36415</w:t>
            </w:r>
          </w:p>
          <w:p w:rsidR="00402F35" w:rsidRPr="00232215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82947</w:t>
            </w:r>
          </w:p>
          <w:p w:rsidR="00402F35" w:rsidRPr="00232215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83036</w:t>
            </w:r>
          </w:p>
          <w:p w:rsidR="00402F35" w:rsidRPr="00232215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80061</w:t>
            </w:r>
          </w:p>
          <w:p w:rsidR="00402F35" w:rsidRPr="00232215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82565</w:t>
            </w:r>
          </w:p>
          <w:p w:rsidR="00402F35" w:rsidRPr="00232215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77080</w:t>
            </w:r>
          </w:p>
          <w:p w:rsidR="00402F35" w:rsidRPr="00232215" w:rsidRDefault="00402F35" w:rsidP="00402F35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Every 2 Years:</w:t>
            </w:r>
          </w:p>
          <w:p w:rsidR="00402F35" w:rsidRPr="00232215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77057</w:t>
            </w:r>
          </w:p>
          <w:p w:rsidR="00402F35" w:rsidRPr="00232215" w:rsidRDefault="00402F35" w:rsidP="00402F35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 xml:space="preserve">Annual: </w:t>
            </w:r>
          </w:p>
          <w:p w:rsidR="00402F35" w:rsidRPr="00232215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82274</w:t>
            </w:r>
          </w:p>
          <w:p w:rsidR="00402F35" w:rsidRPr="00232215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232215">
              <w:rPr>
                <w:rFonts w:ascii="Calibri" w:hAnsi="Calibri" w:cs="Arial"/>
                <w:kern w:val="24"/>
                <w:sz w:val="18"/>
                <w:szCs w:val="18"/>
              </w:rPr>
              <w:t>01103</w:t>
            </w:r>
          </w:p>
          <w:p w:rsidR="00402F35" w:rsidRPr="00042B09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13211</w:t>
            </w:r>
          </w:p>
          <w:p w:rsidR="00402F35" w:rsidRPr="00042B09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92553</w:t>
            </w:r>
          </w:p>
          <w:p w:rsidR="00402F35" w:rsidRPr="00042B09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99173</w:t>
            </w:r>
          </w:p>
        </w:tc>
      </w:tr>
      <w:tr w:rsidR="00402F35" w:rsidRPr="00042B09" w:rsidTr="00406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pct"/>
          </w:tcPr>
          <w:p w:rsidR="00402F35" w:rsidRPr="00042B09" w:rsidRDefault="00402F35" w:rsidP="00402F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42B09">
              <w:rPr>
                <w:rFonts w:ascii="Calibri" w:hAnsi="Calibri" w:cs="Arial"/>
                <w:b w:val="0"/>
                <w:bCs w:val="0"/>
                <w:kern w:val="24"/>
                <w:sz w:val="18"/>
                <w:szCs w:val="18"/>
              </w:rPr>
              <w:lastRenderedPageBreak/>
              <w:t>52-06</w:t>
            </w:r>
          </w:p>
        </w:tc>
        <w:tc>
          <w:tcPr>
            <w:tcW w:w="1609" w:type="pct"/>
          </w:tcPr>
          <w:p w:rsidR="00402F35" w:rsidRPr="00042B09" w:rsidRDefault="00402F35" w:rsidP="00402F35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Colon cancer screening package for Male and Female  (age 40-75 Year old)</w:t>
            </w:r>
          </w:p>
        </w:tc>
        <w:tc>
          <w:tcPr>
            <w:tcW w:w="2799" w:type="pct"/>
          </w:tcPr>
          <w:p w:rsidR="00042B09" w:rsidRPr="00042B09" w:rsidRDefault="00042B09" w:rsidP="00402F35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Colon cancer screening package for Male and Female  (age 40-75 Year old) including the following services</w:t>
            </w:r>
          </w:p>
          <w:p w:rsidR="00402F35" w:rsidRPr="00042B09" w:rsidRDefault="00402F35" w:rsidP="00402F35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Every 10 years</w:t>
            </w:r>
          </w:p>
          <w:p w:rsidR="00402F35" w:rsidRPr="00042B09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99201</w:t>
            </w:r>
          </w:p>
          <w:p w:rsidR="00402F35" w:rsidRPr="00042B09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G0105</w:t>
            </w:r>
          </w:p>
        </w:tc>
      </w:tr>
      <w:tr w:rsidR="00402F35" w:rsidRPr="00042B09" w:rsidTr="0040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pct"/>
          </w:tcPr>
          <w:p w:rsidR="00402F35" w:rsidRPr="00042B09" w:rsidRDefault="00402F35" w:rsidP="00402F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42B09">
              <w:rPr>
                <w:rFonts w:ascii="Calibri" w:hAnsi="Calibri" w:cs="Arial"/>
                <w:b w:val="0"/>
                <w:bCs w:val="0"/>
                <w:kern w:val="24"/>
                <w:sz w:val="18"/>
                <w:szCs w:val="18"/>
              </w:rPr>
              <w:t>52-07</w:t>
            </w:r>
          </w:p>
        </w:tc>
        <w:tc>
          <w:tcPr>
            <w:tcW w:w="1609" w:type="pct"/>
          </w:tcPr>
          <w:p w:rsidR="00402F35" w:rsidRPr="00042B09" w:rsidRDefault="00402F35" w:rsidP="00402F35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Cervical cancer screening for Female (25-29 Year old)</w:t>
            </w:r>
          </w:p>
        </w:tc>
        <w:tc>
          <w:tcPr>
            <w:tcW w:w="2799" w:type="pct"/>
          </w:tcPr>
          <w:p w:rsidR="00042B09" w:rsidRPr="00042B09" w:rsidRDefault="00042B09" w:rsidP="00402F35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Cervical cancer screening for Female (25-29 Year old) including the following services</w:t>
            </w:r>
          </w:p>
          <w:p w:rsidR="00402F35" w:rsidRPr="00042B09" w:rsidRDefault="00402F35" w:rsidP="00402F35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Every 3 years:</w:t>
            </w:r>
          </w:p>
          <w:p w:rsidR="00402F35" w:rsidRPr="00042B09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99201</w:t>
            </w:r>
          </w:p>
          <w:p w:rsidR="00402F35" w:rsidRPr="00042B09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88142</w:t>
            </w:r>
          </w:p>
        </w:tc>
      </w:tr>
      <w:tr w:rsidR="00402F35" w:rsidRPr="00042B09" w:rsidTr="00406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pct"/>
          </w:tcPr>
          <w:p w:rsidR="00402F35" w:rsidRPr="00042B09" w:rsidRDefault="00402F35" w:rsidP="00402F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42B09">
              <w:rPr>
                <w:rFonts w:ascii="Calibri" w:hAnsi="Calibri" w:cs="Arial"/>
                <w:b w:val="0"/>
                <w:bCs w:val="0"/>
                <w:kern w:val="24"/>
                <w:sz w:val="18"/>
                <w:szCs w:val="18"/>
              </w:rPr>
              <w:t>52-08</w:t>
            </w:r>
          </w:p>
        </w:tc>
        <w:tc>
          <w:tcPr>
            <w:tcW w:w="1609" w:type="pct"/>
          </w:tcPr>
          <w:p w:rsidR="00402F35" w:rsidRPr="00042B09" w:rsidRDefault="00402F35" w:rsidP="00402F35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Cervical cancer screening for Female (30-64 Year old)</w:t>
            </w:r>
          </w:p>
        </w:tc>
        <w:tc>
          <w:tcPr>
            <w:tcW w:w="2799" w:type="pct"/>
          </w:tcPr>
          <w:p w:rsidR="00042B09" w:rsidRPr="00042B09" w:rsidRDefault="00042B09" w:rsidP="00402F35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Cervical cancer screening for Female (30-64 Year old) including the following services</w:t>
            </w:r>
          </w:p>
          <w:p w:rsidR="00402F35" w:rsidRPr="00042B09" w:rsidRDefault="00402F35" w:rsidP="00402F35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Every 3 years:</w:t>
            </w:r>
          </w:p>
          <w:p w:rsidR="00402F35" w:rsidRPr="00042B09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99201</w:t>
            </w:r>
          </w:p>
          <w:p w:rsidR="00402F35" w:rsidRPr="00042B09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88142</w:t>
            </w:r>
          </w:p>
          <w:p w:rsidR="00402F35" w:rsidRPr="00042B09" w:rsidRDefault="00402F35" w:rsidP="00402F35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Every 5 years</w:t>
            </w:r>
          </w:p>
          <w:p w:rsidR="00402F35" w:rsidRPr="00042B09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87621</w:t>
            </w:r>
          </w:p>
        </w:tc>
      </w:tr>
      <w:tr w:rsidR="00402F35" w:rsidRPr="00042B09" w:rsidTr="0040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pct"/>
          </w:tcPr>
          <w:p w:rsidR="00402F35" w:rsidRPr="00042B09" w:rsidRDefault="00402F35" w:rsidP="00402F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42B09">
              <w:rPr>
                <w:rFonts w:asciiTheme="minorHAnsi" w:eastAsiaTheme="minorEastAsia" w:hAnsi="Calibri" w:cstheme="minorBidi"/>
                <w:b w:val="0"/>
                <w:bCs w:val="0"/>
                <w:kern w:val="24"/>
                <w:sz w:val="18"/>
                <w:szCs w:val="18"/>
              </w:rPr>
              <w:t>52-09</w:t>
            </w:r>
          </w:p>
        </w:tc>
        <w:tc>
          <w:tcPr>
            <w:tcW w:w="1609" w:type="pct"/>
          </w:tcPr>
          <w:p w:rsidR="00402F35" w:rsidRPr="00042B09" w:rsidRDefault="00402F35" w:rsidP="00042B0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42B09">
              <w:rPr>
                <w:rFonts w:asciiTheme="minorHAnsi" w:eastAsiaTheme="minorEastAsia" w:hAnsi="Calibri" w:cstheme="minorBidi"/>
                <w:kern w:val="24"/>
                <w:sz w:val="18"/>
                <w:szCs w:val="18"/>
              </w:rPr>
              <w:t>Lung cancer screening for Male</w:t>
            </w:r>
            <w:r w:rsidR="00042B09" w:rsidRPr="00042B09">
              <w:rPr>
                <w:rFonts w:asciiTheme="minorHAnsi" w:eastAsiaTheme="minorEastAsia" w:hAnsi="Calibri" w:cstheme="minorBidi"/>
                <w:kern w:val="24"/>
                <w:sz w:val="18"/>
                <w:szCs w:val="18"/>
              </w:rPr>
              <w:t xml:space="preserve"> &amp;</w:t>
            </w:r>
            <w:r w:rsidRPr="00042B09">
              <w:rPr>
                <w:rFonts w:asciiTheme="minorHAnsi" w:eastAsiaTheme="minorEastAsia" w:hAnsi="Calibri" w:cstheme="minorBidi"/>
                <w:kern w:val="24"/>
                <w:sz w:val="18"/>
                <w:szCs w:val="18"/>
              </w:rPr>
              <w:t xml:space="preserve"> Female 55-75 Year old ( high risk only, heavy smokers)</w:t>
            </w:r>
          </w:p>
        </w:tc>
        <w:tc>
          <w:tcPr>
            <w:tcW w:w="2799" w:type="pct"/>
          </w:tcPr>
          <w:p w:rsidR="00042B09" w:rsidRPr="00042B09" w:rsidRDefault="00042B09" w:rsidP="00042B0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="Calibri" w:cstheme="minorBidi"/>
                <w:kern w:val="24"/>
                <w:sz w:val="18"/>
                <w:szCs w:val="18"/>
              </w:rPr>
            </w:pPr>
            <w:r w:rsidRPr="00042B09">
              <w:rPr>
                <w:rFonts w:asciiTheme="minorHAnsi" w:eastAsiaTheme="minorEastAsia" w:hAnsi="Calibri" w:cstheme="minorBidi"/>
                <w:kern w:val="24"/>
                <w:sz w:val="18"/>
                <w:szCs w:val="18"/>
              </w:rPr>
              <w:t xml:space="preserve">Lung cancer screening for Male &amp; Female 55-75 Year old ( high risk only, heavy smokers) </w:t>
            </w: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including the following services</w:t>
            </w:r>
          </w:p>
          <w:p w:rsidR="00402F35" w:rsidRPr="00042B09" w:rsidRDefault="00402F35" w:rsidP="00402F35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 xml:space="preserve">Annual: </w:t>
            </w:r>
          </w:p>
          <w:p w:rsidR="00402F35" w:rsidRPr="00042B09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kern w:val="24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99201</w:t>
            </w:r>
          </w:p>
          <w:p w:rsidR="00402F35" w:rsidRPr="00042B09" w:rsidRDefault="00402F35" w:rsidP="00402F3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="Calibri" w:cstheme="minorBidi"/>
                <w:kern w:val="24"/>
                <w:sz w:val="18"/>
                <w:szCs w:val="18"/>
              </w:rPr>
            </w:pPr>
            <w:r w:rsidRPr="00042B09">
              <w:rPr>
                <w:rFonts w:ascii="Calibri" w:hAnsi="Calibri" w:cs="Arial"/>
                <w:kern w:val="24"/>
                <w:sz w:val="18"/>
                <w:szCs w:val="18"/>
              </w:rPr>
              <w:t>71250</w:t>
            </w:r>
          </w:p>
        </w:tc>
      </w:tr>
    </w:tbl>
    <w:p w:rsidR="002047A1" w:rsidRDefault="002047A1" w:rsidP="00062776">
      <w:p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:rsidR="008A798A" w:rsidRDefault="008A798A" w:rsidP="00062776">
      <w:p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:rsidR="008E18D6" w:rsidRDefault="008E18D6" w:rsidP="009155B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color w:val="17365D" w:themeColor="text2" w:themeShade="BF"/>
          <w:sz w:val="28"/>
          <w:szCs w:val="28"/>
        </w:rPr>
      </w:pPr>
      <w:r w:rsidRPr="00991218">
        <w:rPr>
          <w:rFonts w:cstheme="minorHAnsi"/>
          <w:b/>
          <w:color w:val="17365D" w:themeColor="text2" w:themeShade="BF"/>
          <w:sz w:val="28"/>
          <w:szCs w:val="28"/>
        </w:rPr>
        <w:t>Claims and Adjudication Rules</w:t>
      </w:r>
    </w:p>
    <w:p w:rsidR="008E18D6" w:rsidRPr="001F27B3" w:rsidRDefault="008E18D6" w:rsidP="008E18D6">
      <w:pPr>
        <w:pStyle w:val="ListParagraph"/>
        <w:spacing w:after="0" w:line="240" w:lineRule="auto"/>
        <w:ind w:left="360"/>
        <w:jc w:val="both"/>
        <w:rPr>
          <w:rFonts w:cstheme="minorHAnsi"/>
          <w:b/>
          <w:color w:val="17365D" w:themeColor="text2" w:themeShade="BF"/>
          <w:sz w:val="28"/>
          <w:szCs w:val="28"/>
        </w:rPr>
      </w:pPr>
      <w:r w:rsidRPr="001F27B3">
        <w:rPr>
          <w:sz w:val="24"/>
          <w:szCs w:val="24"/>
        </w:rPr>
        <w:t xml:space="preserve"> </w:t>
      </w:r>
    </w:p>
    <w:p w:rsidR="004D11EC" w:rsidRDefault="004D11EC" w:rsidP="00402F3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402F35">
        <w:rPr>
          <w:rFonts w:cstheme="minorHAnsi"/>
          <w:color w:val="17365D" w:themeColor="text2" w:themeShade="BF"/>
          <w:sz w:val="24"/>
          <w:szCs w:val="24"/>
        </w:rPr>
        <w:t xml:space="preserve">The above service codes must be only reported with </w:t>
      </w:r>
      <w:proofErr w:type="spellStart"/>
      <w:r w:rsidRPr="00402F35">
        <w:rPr>
          <w:rFonts w:cstheme="minorHAnsi"/>
          <w:color w:val="17365D" w:themeColor="text2" w:themeShade="BF"/>
          <w:sz w:val="24"/>
          <w:szCs w:val="24"/>
        </w:rPr>
        <w:t>EncounterType</w:t>
      </w:r>
      <w:proofErr w:type="spellEnd"/>
      <w:r w:rsidRPr="00402F35">
        <w:rPr>
          <w:rFonts w:cstheme="minorHAnsi"/>
          <w:color w:val="17365D" w:themeColor="text2" w:themeShade="BF"/>
          <w:sz w:val="24"/>
          <w:szCs w:val="24"/>
        </w:rPr>
        <w:t xml:space="preserve">=7;  and </w:t>
      </w:r>
    </w:p>
    <w:p w:rsidR="00B90BB0" w:rsidRPr="00B42DA8" w:rsidRDefault="00B90BB0" w:rsidP="00B90BB0">
      <w:pPr>
        <w:pStyle w:val="ListParagraph"/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:rsidR="004D11EC" w:rsidRPr="00B42DA8" w:rsidRDefault="004D11EC" w:rsidP="00B90BB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B42DA8">
        <w:rPr>
          <w:rFonts w:cs="Calibri"/>
          <w:color w:val="17365D"/>
          <w:sz w:val="24"/>
          <w:szCs w:val="24"/>
        </w:rPr>
        <w:t xml:space="preserve">An observation must be reported in the </w:t>
      </w:r>
      <w:proofErr w:type="spellStart"/>
      <w:r w:rsidRPr="00B42DA8">
        <w:rPr>
          <w:rFonts w:cs="Calibri"/>
          <w:color w:val="17365D"/>
          <w:sz w:val="24"/>
          <w:szCs w:val="24"/>
        </w:rPr>
        <w:t>eC</w:t>
      </w:r>
      <w:r w:rsidR="00402F35">
        <w:rPr>
          <w:rFonts w:cs="Calibri"/>
          <w:color w:val="17365D"/>
          <w:sz w:val="24"/>
          <w:szCs w:val="24"/>
        </w:rPr>
        <w:t>laim</w:t>
      </w:r>
      <w:proofErr w:type="spellEnd"/>
      <w:r w:rsidR="00402F35">
        <w:rPr>
          <w:rFonts w:cs="Calibri"/>
          <w:color w:val="17365D"/>
          <w:sz w:val="24"/>
          <w:szCs w:val="24"/>
        </w:rPr>
        <w:t xml:space="preserve"> with the use of Codes 52-01 to 52-09</w:t>
      </w:r>
      <w:r w:rsidRPr="00B42DA8">
        <w:rPr>
          <w:rFonts w:cs="Calibri"/>
          <w:color w:val="17365D"/>
          <w:sz w:val="24"/>
          <w:szCs w:val="24"/>
        </w:rPr>
        <w:t xml:space="preserve"> as defined in Routine Reporting Requirements published on </w:t>
      </w:r>
      <w:hyperlink r:id="rId10" w:history="1">
        <w:r w:rsidR="003E546D" w:rsidRPr="003E40BC">
          <w:rPr>
            <w:rStyle w:val="Hyperlink"/>
            <w:rFonts w:cs="Calibri"/>
            <w:sz w:val="24"/>
            <w:szCs w:val="24"/>
          </w:rPr>
          <w:t>https://www.doh.gov.ae/en/Shafafiya/reporting</w:t>
        </w:r>
      </w:hyperlink>
      <w:r w:rsidR="003E546D">
        <w:rPr>
          <w:rFonts w:cs="Calibri"/>
          <w:color w:val="17365D"/>
          <w:sz w:val="24"/>
          <w:szCs w:val="24"/>
        </w:rPr>
        <w:t xml:space="preserve">   </w:t>
      </w:r>
    </w:p>
    <w:p w:rsidR="004D11EC" w:rsidRPr="00B42DA8" w:rsidRDefault="004D11EC" w:rsidP="004D11EC">
      <w:pPr>
        <w:pStyle w:val="ListParagraph"/>
        <w:spacing w:after="0" w:line="240" w:lineRule="auto"/>
        <w:ind w:left="792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:rsidR="004D11EC" w:rsidRDefault="004D11EC" w:rsidP="003E546D">
      <w:pPr>
        <w:pStyle w:val="ListParagraph"/>
        <w:numPr>
          <w:ilvl w:val="0"/>
          <w:numId w:val="8"/>
        </w:numPr>
        <w:spacing w:after="0" w:line="240" w:lineRule="auto"/>
        <w:ind w:left="792" w:hanging="432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B71013">
        <w:rPr>
          <w:rFonts w:cstheme="minorHAnsi"/>
          <w:color w:val="17365D" w:themeColor="text2" w:themeShade="BF"/>
          <w:sz w:val="24"/>
          <w:szCs w:val="24"/>
        </w:rPr>
        <w:t xml:space="preserve">Reimbursement for codes </w:t>
      </w:r>
      <w:r w:rsidR="00402F35">
        <w:rPr>
          <w:rFonts w:cs="Calibri"/>
          <w:color w:val="17365D"/>
          <w:sz w:val="24"/>
          <w:szCs w:val="24"/>
        </w:rPr>
        <w:t xml:space="preserve">52-01 to 52-09 </w:t>
      </w:r>
      <w:proofErr w:type="gramStart"/>
      <w:r w:rsidRPr="00B71013">
        <w:rPr>
          <w:rFonts w:cstheme="minorHAnsi"/>
          <w:color w:val="17365D" w:themeColor="text2" w:themeShade="BF"/>
          <w:sz w:val="24"/>
          <w:szCs w:val="24"/>
        </w:rPr>
        <w:t>shall not be allowed</w:t>
      </w:r>
      <w:proofErr w:type="gramEnd"/>
      <w:r w:rsidRPr="00B71013">
        <w:rPr>
          <w:rFonts w:cstheme="minorHAnsi"/>
          <w:color w:val="17365D" w:themeColor="text2" w:themeShade="BF"/>
          <w:sz w:val="24"/>
          <w:szCs w:val="24"/>
        </w:rPr>
        <w:t xml:space="preserve"> if billed jointly or with CPTs </w:t>
      </w:r>
      <w:r>
        <w:rPr>
          <w:rFonts w:cstheme="minorHAnsi"/>
          <w:color w:val="17365D" w:themeColor="text2" w:themeShade="BF"/>
          <w:sz w:val="24"/>
          <w:szCs w:val="24"/>
        </w:rPr>
        <w:t xml:space="preserve">99201-99215, </w:t>
      </w:r>
      <w:r w:rsidRPr="00B71013">
        <w:rPr>
          <w:rFonts w:cstheme="minorHAnsi"/>
          <w:color w:val="17365D" w:themeColor="text2" w:themeShade="BF"/>
          <w:sz w:val="24"/>
          <w:szCs w:val="24"/>
        </w:rPr>
        <w:t>99401–99420</w:t>
      </w:r>
      <w:r>
        <w:rPr>
          <w:rFonts w:cstheme="minorHAnsi"/>
          <w:color w:val="17365D" w:themeColor="text2" w:themeShade="BF"/>
          <w:sz w:val="24"/>
          <w:szCs w:val="24"/>
        </w:rPr>
        <w:t xml:space="preserve"> and </w:t>
      </w:r>
      <w:r w:rsidRPr="00B71013">
        <w:rPr>
          <w:rFonts w:cstheme="minorHAnsi"/>
          <w:color w:val="17365D" w:themeColor="text2" w:themeShade="BF"/>
          <w:sz w:val="24"/>
          <w:szCs w:val="24"/>
        </w:rPr>
        <w:t xml:space="preserve">99381-99387; </w:t>
      </w:r>
      <w:r w:rsidRPr="00DA6E6A">
        <w:rPr>
          <w:rFonts w:cs="Calibri"/>
          <w:color w:val="17365D"/>
          <w:sz w:val="24"/>
          <w:szCs w:val="24"/>
        </w:rPr>
        <w:t xml:space="preserve">if billed by the same facility, </w:t>
      </w:r>
      <w:r>
        <w:rPr>
          <w:rFonts w:cs="Calibri"/>
          <w:color w:val="17365D"/>
          <w:sz w:val="24"/>
          <w:szCs w:val="24"/>
        </w:rPr>
        <w:t xml:space="preserve">for the same patient, </w:t>
      </w:r>
      <w:r w:rsidRPr="00376A6C">
        <w:rPr>
          <w:rFonts w:cs="Calibri"/>
          <w:color w:val="17365D"/>
          <w:sz w:val="24"/>
          <w:szCs w:val="24"/>
        </w:rPr>
        <w:t>same principle diagnosis</w:t>
      </w:r>
      <w:r w:rsidDel="00945B7D">
        <w:rPr>
          <w:rFonts w:cs="Calibri"/>
          <w:color w:val="17365D"/>
          <w:sz w:val="24"/>
          <w:szCs w:val="24"/>
        </w:rPr>
        <w:t xml:space="preserve"> </w:t>
      </w:r>
      <w:r>
        <w:rPr>
          <w:rFonts w:cs="Calibri"/>
          <w:color w:val="17365D"/>
          <w:sz w:val="24"/>
          <w:szCs w:val="24"/>
        </w:rPr>
        <w:t>(</w:t>
      </w:r>
      <w:r w:rsidR="003E546D">
        <w:rPr>
          <w:rFonts w:cs="Calibri"/>
          <w:color w:val="17365D"/>
          <w:sz w:val="24"/>
          <w:szCs w:val="24"/>
        </w:rPr>
        <w:t>Comprehensive</w:t>
      </w:r>
      <w:r>
        <w:rPr>
          <w:rFonts w:cs="Calibri"/>
          <w:color w:val="17365D"/>
          <w:sz w:val="24"/>
          <w:szCs w:val="24"/>
        </w:rPr>
        <w:t xml:space="preserve"> Screening) on the </w:t>
      </w:r>
      <w:r w:rsidRPr="00DA6E6A">
        <w:rPr>
          <w:rFonts w:cs="Calibri"/>
          <w:color w:val="17365D"/>
          <w:sz w:val="24"/>
          <w:szCs w:val="24"/>
        </w:rPr>
        <w:t>same date of service</w:t>
      </w:r>
      <w:r w:rsidRPr="00B71013">
        <w:rPr>
          <w:rFonts w:cstheme="minorHAnsi"/>
          <w:color w:val="17365D" w:themeColor="text2" w:themeShade="BF"/>
          <w:sz w:val="24"/>
          <w:szCs w:val="24"/>
        </w:rPr>
        <w:t xml:space="preserve">. In the event of </w:t>
      </w:r>
      <w:proofErr w:type="gramStart"/>
      <w:r w:rsidRPr="00B71013">
        <w:rPr>
          <w:rFonts w:cstheme="minorHAnsi"/>
          <w:color w:val="17365D" w:themeColor="text2" w:themeShade="BF"/>
          <w:sz w:val="24"/>
          <w:szCs w:val="24"/>
        </w:rPr>
        <w:t>being jointly billed</w:t>
      </w:r>
      <w:proofErr w:type="gramEnd"/>
      <w:r w:rsidRPr="00B71013">
        <w:rPr>
          <w:rFonts w:cstheme="minorHAnsi"/>
          <w:color w:val="17365D" w:themeColor="text2" w:themeShade="BF"/>
          <w:sz w:val="24"/>
          <w:szCs w:val="24"/>
        </w:rPr>
        <w:t xml:space="preserve"> for the same patient and same episode of care, reimbursement shall be limited to the “single” code that deems most appropriate.</w:t>
      </w:r>
    </w:p>
    <w:p w:rsidR="004D11EC" w:rsidRPr="00B71013" w:rsidRDefault="004D11EC" w:rsidP="004D11EC">
      <w:pPr>
        <w:pStyle w:val="ListParagraph"/>
        <w:spacing w:after="0" w:line="240" w:lineRule="auto"/>
        <w:ind w:left="792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:rsidR="004D11EC" w:rsidRDefault="004D11EC" w:rsidP="003E546D">
      <w:pPr>
        <w:pStyle w:val="ListParagraph"/>
        <w:numPr>
          <w:ilvl w:val="0"/>
          <w:numId w:val="8"/>
        </w:numPr>
        <w:spacing w:after="0" w:line="240" w:lineRule="auto"/>
        <w:ind w:left="792" w:hanging="432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B71013">
        <w:rPr>
          <w:rFonts w:cstheme="minorHAnsi"/>
          <w:color w:val="17365D" w:themeColor="text2" w:themeShade="BF"/>
          <w:sz w:val="24"/>
          <w:szCs w:val="24"/>
        </w:rPr>
        <w:t xml:space="preserve">“E&amp;M Follow up within one week” rule shall not be applicable to service codes </w:t>
      </w:r>
      <w:r w:rsidR="003E546D">
        <w:rPr>
          <w:rFonts w:cstheme="minorHAnsi"/>
          <w:color w:val="17365D" w:themeColor="text2" w:themeShade="BF"/>
          <w:sz w:val="24"/>
          <w:szCs w:val="24"/>
        </w:rPr>
        <w:t xml:space="preserve">52-01 </w:t>
      </w:r>
      <w:r w:rsidR="00402F35">
        <w:rPr>
          <w:rFonts w:cstheme="minorHAnsi"/>
          <w:color w:val="17365D" w:themeColor="text2" w:themeShade="BF"/>
          <w:sz w:val="24"/>
          <w:szCs w:val="24"/>
        </w:rPr>
        <w:t>to 52-09</w:t>
      </w:r>
      <w:r w:rsidRPr="00B71013">
        <w:rPr>
          <w:rFonts w:cstheme="minorHAnsi"/>
          <w:color w:val="17365D" w:themeColor="text2" w:themeShade="BF"/>
          <w:sz w:val="24"/>
          <w:szCs w:val="24"/>
        </w:rPr>
        <w:t xml:space="preserve">. Hence, reimbursement </w:t>
      </w:r>
      <w:proofErr w:type="gramStart"/>
      <w:r w:rsidRPr="00B71013">
        <w:rPr>
          <w:rFonts w:cstheme="minorHAnsi"/>
          <w:color w:val="17365D" w:themeColor="text2" w:themeShade="BF"/>
          <w:sz w:val="24"/>
          <w:szCs w:val="24"/>
        </w:rPr>
        <w:t>shall be allowed</w:t>
      </w:r>
      <w:proofErr w:type="gramEnd"/>
      <w:r w:rsidRPr="00B71013">
        <w:rPr>
          <w:rFonts w:cstheme="minorHAnsi"/>
          <w:color w:val="17365D" w:themeColor="text2" w:themeShade="BF"/>
          <w:sz w:val="24"/>
          <w:szCs w:val="24"/>
        </w:rPr>
        <w:t xml:space="preserve"> for subsequent Evaluation and Management office visit or consultation, if deemed medically necessary.  Nonetheless, subsequent Evaluation and Management office visit or consultation shall be subject to the E&amp;M rules in effect.</w:t>
      </w:r>
    </w:p>
    <w:p w:rsidR="004D11EC" w:rsidRPr="00B71013" w:rsidRDefault="004D11EC" w:rsidP="004D11EC">
      <w:pPr>
        <w:pStyle w:val="ListParagraph"/>
        <w:spacing w:after="0" w:line="240" w:lineRule="auto"/>
        <w:ind w:left="792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:rsidR="004D11EC" w:rsidRPr="00402F35" w:rsidRDefault="004D11EC" w:rsidP="00402F35">
      <w:pPr>
        <w:pStyle w:val="ListParagraph"/>
        <w:numPr>
          <w:ilvl w:val="0"/>
          <w:numId w:val="8"/>
        </w:numPr>
        <w:spacing w:after="0" w:line="240" w:lineRule="auto"/>
        <w:ind w:left="792" w:hanging="432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B71013">
        <w:rPr>
          <w:rFonts w:cstheme="minorHAnsi"/>
          <w:color w:val="17365D" w:themeColor="text2" w:themeShade="BF"/>
          <w:sz w:val="24"/>
          <w:szCs w:val="24"/>
        </w:rPr>
        <w:lastRenderedPageBreak/>
        <w:t xml:space="preserve">Coding and reimbursement of subsequent services (including E&amp;M) </w:t>
      </w:r>
      <w:proofErr w:type="gramStart"/>
      <w:r w:rsidRPr="00B71013">
        <w:rPr>
          <w:rFonts w:cstheme="minorHAnsi"/>
          <w:color w:val="17365D" w:themeColor="text2" w:themeShade="BF"/>
          <w:sz w:val="24"/>
          <w:szCs w:val="24"/>
        </w:rPr>
        <w:t>shall be based</w:t>
      </w:r>
      <w:proofErr w:type="gramEnd"/>
      <w:r w:rsidRPr="00B71013">
        <w:rPr>
          <w:rFonts w:cstheme="minorHAnsi"/>
          <w:color w:val="17365D" w:themeColor="text2" w:themeShade="BF"/>
          <w:sz w:val="24"/>
          <w:szCs w:val="24"/>
        </w:rPr>
        <w:t xml:space="preserve"> on the medical necessity determined by the initial screening outcomes or services prescribed by </w:t>
      </w:r>
      <w:r w:rsidR="00402F35">
        <w:rPr>
          <w:rFonts w:cstheme="minorHAnsi"/>
          <w:color w:val="17365D" w:themeColor="text2" w:themeShade="BF"/>
          <w:sz w:val="24"/>
          <w:szCs w:val="24"/>
        </w:rPr>
        <w:t>comprehensive screening program</w:t>
      </w:r>
      <w:r w:rsidRPr="00B71013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Pr="00402F35">
        <w:rPr>
          <w:rFonts w:cstheme="minorHAnsi"/>
          <w:color w:val="17365D" w:themeColor="text2" w:themeShade="BF"/>
          <w:sz w:val="24"/>
          <w:szCs w:val="24"/>
        </w:rPr>
        <w:t>standard. Whereby;</w:t>
      </w:r>
    </w:p>
    <w:p w:rsidR="004D11EC" w:rsidRDefault="004D11EC" w:rsidP="004D11E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B71013">
        <w:rPr>
          <w:rFonts w:cstheme="minorHAnsi"/>
          <w:color w:val="17365D" w:themeColor="text2" w:themeShade="BF"/>
          <w:sz w:val="24"/>
          <w:szCs w:val="24"/>
        </w:rPr>
        <w:t xml:space="preserve">Preventive medicine counseling CPT codes (99401 – 99420) </w:t>
      </w:r>
      <w:proofErr w:type="gramStart"/>
      <w:r w:rsidRPr="00B71013">
        <w:rPr>
          <w:rFonts w:cstheme="minorHAnsi"/>
          <w:color w:val="17365D" w:themeColor="text2" w:themeShade="BF"/>
          <w:sz w:val="24"/>
          <w:szCs w:val="24"/>
        </w:rPr>
        <w:t>shall be allowed</w:t>
      </w:r>
      <w:proofErr w:type="gramEnd"/>
      <w:r w:rsidRPr="00B71013">
        <w:rPr>
          <w:rFonts w:cstheme="minorHAnsi"/>
          <w:color w:val="17365D" w:themeColor="text2" w:themeShade="BF"/>
          <w:sz w:val="24"/>
          <w:szCs w:val="24"/>
        </w:rPr>
        <w:t xml:space="preserve"> for patients with established medium to high risk factors. And / or further investigation or diagnostic services on any abnormal finding detected from the screening services. </w:t>
      </w:r>
    </w:p>
    <w:p w:rsidR="004D11EC" w:rsidRDefault="004D11EC" w:rsidP="004D11E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B71013">
        <w:rPr>
          <w:rFonts w:cstheme="minorHAnsi"/>
          <w:color w:val="17365D" w:themeColor="text2" w:themeShade="BF"/>
          <w:sz w:val="24"/>
          <w:szCs w:val="24"/>
        </w:rPr>
        <w:t xml:space="preserve">In the absence of established risk factor or for subsequent encounter after counseling was commenced, and where abnormal finding were detected; such encounters shall be billed and reimbursed </w:t>
      </w:r>
      <w:r>
        <w:rPr>
          <w:rFonts w:cstheme="minorHAnsi"/>
          <w:color w:val="17365D" w:themeColor="text2" w:themeShade="BF"/>
          <w:sz w:val="24"/>
          <w:szCs w:val="24"/>
        </w:rPr>
        <w:t xml:space="preserve">using the </w:t>
      </w:r>
      <w:r w:rsidRPr="00B71013">
        <w:rPr>
          <w:rFonts w:cstheme="minorHAnsi"/>
          <w:color w:val="17365D" w:themeColor="text2" w:themeShade="BF"/>
          <w:sz w:val="24"/>
          <w:szCs w:val="24"/>
        </w:rPr>
        <w:t xml:space="preserve">E&amp;M </w:t>
      </w:r>
      <w:r>
        <w:rPr>
          <w:rFonts w:cstheme="minorHAnsi"/>
          <w:color w:val="17365D" w:themeColor="text2" w:themeShade="BF"/>
          <w:sz w:val="24"/>
          <w:szCs w:val="24"/>
        </w:rPr>
        <w:t xml:space="preserve">codes </w:t>
      </w:r>
      <w:r w:rsidRPr="00B71013">
        <w:rPr>
          <w:rFonts w:cstheme="minorHAnsi"/>
          <w:color w:val="17365D" w:themeColor="text2" w:themeShade="BF"/>
          <w:sz w:val="24"/>
          <w:szCs w:val="24"/>
        </w:rPr>
        <w:t>as a medical condition and not a preventive service.</w:t>
      </w:r>
    </w:p>
    <w:p w:rsidR="00B90BB0" w:rsidRDefault="00B90BB0" w:rsidP="00B90BB0">
      <w:pPr>
        <w:pStyle w:val="ListParagraph"/>
        <w:spacing w:after="0" w:line="240" w:lineRule="auto"/>
        <w:ind w:left="1080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:rsidR="008E18D6" w:rsidRPr="00B90BB0" w:rsidRDefault="00E40B06" w:rsidP="00B90BB0">
      <w:pPr>
        <w:pStyle w:val="ListParagraph"/>
        <w:numPr>
          <w:ilvl w:val="0"/>
          <w:numId w:val="8"/>
        </w:numPr>
        <w:spacing w:after="0" w:line="240" w:lineRule="auto"/>
        <w:ind w:left="792" w:hanging="432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B90BB0">
        <w:rPr>
          <w:rFonts w:cstheme="minorHAnsi"/>
          <w:color w:val="17365D" w:themeColor="text2" w:themeShade="BF"/>
          <w:sz w:val="24"/>
          <w:szCs w:val="24"/>
        </w:rPr>
        <w:t xml:space="preserve">Eligibility will be as per the </w:t>
      </w:r>
      <w:r w:rsidR="004D11EC" w:rsidRPr="00B90BB0">
        <w:rPr>
          <w:rFonts w:cstheme="minorHAnsi"/>
          <w:color w:val="17365D" w:themeColor="text2" w:themeShade="BF"/>
          <w:sz w:val="24"/>
          <w:szCs w:val="24"/>
        </w:rPr>
        <w:t>Comprehensive Screening</w:t>
      </w:r>
      <w:r w:rsidR="00CC25A1" w:rsidRPr="00B90BB0">
        <w:rPr>
          <w:rFonts w:cstheme="minorHAnsi"/>
          <w:color w:val="17365D" w:themeColor="text2" w:themeShade="BF"/>
          <w:sz w:val="24"/>
          <w:szCs w:val="24"/>
        </w:rPr>
        <w:t xml:space="preserve"> Program</w:t>
      </w:r>
      <w:r w:rsidR="00402F35" w:rsidRPr="00B90BB0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402F35" w:rsidRPr="00402F35">
        <w:rPr>
          <w:rFonts w:cstheme="minorHAnsi"/>
          <w:color w:val="17365D" w:themeColor="text2" w:themeShade="BF"/>
          <w:sz w:val="24"/>
          <w:szCs w:val="24"/>
        </w:rPr>
        <w:t>standard</w:t>
      </w:r>
      <w:r w:rsidRPr="00B90BB0">
        <w:rPr>
          <w:rFonts w:cstheme="minorHAnsi"/>
          <w:color w:val="17365D" w:themeColor="text2" w:themeShade="BF"/>
          <w:sz w:val="24"/>
          <w:szCs w:val="24"/>
        </w:rPr>
        <w:t>.</w:t>
      </w:r>
    </w:p>
    <w:p w:rsidR="008E18D6" w:rsidRPr="005720AA" w:rsidRDefault="008E18D6" w:rsidP="001F368C">
      <w:pPr>
        <w:spacing w:after="0" w:line="240" w:lineRule="auto"/>
        <w:ind w:left="360"/>
        <w:jc w:val="both"/>
        <w:rPr>
          <w:rFonts w:cs="Calibri"/>
          <w:color w:val="17365D"/>
          <w:sz w:val="24"/>
          <w:szCs w:val="24"/>
        </w:rPr>
      </w:pPr>
    </w:p>
    <w:sectPr w:rsidR="008E18D6" w:rsidRPr="005720AA" w:rsidSect="00991218">
      <w:headerReference w:type="default" r:id="rId11"/>
      <w:footerReference w:type="default" r:id="rId12"/>
      <w:pgSz w:w="12240" w:h="15840"/>
      <w:pgMar w:top="1440" w:right="1350" w:bottom="126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DD8" w:rsidRDefault="003C4DD8" w:rsidP="003E2D16">
      <w:pPr>
        <w:spacing w:after="0" w:line="240" w:lineRule="auto"/>
      </w:pPr>
      <w:r>
        <w:separator/>
      </w:r>
    </w:p>
  </w:endnote>
  <w:endnote w:type="continuationSeparator" w:id="0">
    <w:p w:rsidR="003C4DD8" w:rsidRDefault="003C4DD8" w:rsidP="003E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DejaVu Sans">
    <w:altName w:val="Arial"/>
    <w:charset w:val="00"/>
    <w:family w:val="swiss"/>
    <w:pitch w:val="variable"/>
  </w:font>
  <w:font w:name="Arial, Helvetica, sans-serif">
    <w:altName w:val="Times New Roman"/>
    <w:panose1 w:val="00000000000000000000"/>
    <w:charset w:val="00"/>
    <w:family w:val="roman"/>
    <w:notTrueType/>
    <w:pitch w:val="default"/>
  </w:font>
  <w:font w:name="TTE43B609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AB" w:rsidRDefault="004226AB" w:rsidP="006F296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6BC51D8" wp14:editId="519C77C0">
              <wp:simplePos x="0" y="0"/>
              <wp:positionH relativeFrom="page">
                <wp:posOffset>200025</wp:posOffset>
              </wp:positionH>
              <wp:positionV relativeFrom="line">
                <wp:posOffset>123825</wp:posOffset>
              </wp:positionV>
              <wp:extent cx="7366635" cy="313690"/>
              <wp:effectExtent l="0" t="0" r="5715" b="0"/>
              <wp:wrapTopAndBottom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13690"/>
                        <a:chOff x="321" y="14850"/>
                        <a:chExt cx="11601" cy="547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10207" cy="4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Address"/>
                              <w:id w:val="1824775188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4226AB" w:rsidRPr="006F2963" w:rsidRDefault="004226AB" w:rsidP="00725986">
                                <w:pPr>
                                  <w:pStyle w:val="Footer"/>
                                </w:pPr>
                                <w:r>
                                  <w:t xml:space="preserve">Government Prices &amp;Product Benefits- Health System Financing </w:t>
                                </w:r>
                                <w:r w:rsidR="00725986">
                                  <w:t>Division</w:t>
                                </w:r>
                                <w:r>
                                  <w:t xml:space="preserve">             </w:t>
                                </w:r>
                              </w:p>
                            </w:sdtContent>
                          </w:sdt>
                          <w:p w:rsidR="004226AB" w:rsidRPr="00D8676B" w:rsidRDefault="004226AB">
                            <w:pPr>
                              <w:pStyle w:val="Head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0581" y="14903"/>
                          <a:ext cx="1284" cy="4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6AB" w:rsidRPr="00D8676B" w:rsidRDefault="004226AB" w:rsidP="006F2963">
                            <w:pPr>
                              <w:pStyle w:val="Footer"/>
                            </w:pPr>
                            <w:r w:rsidRPr="00D8676B">
                              <w:t xml:space="preserve">Page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9C58C3">
                              <w:rPr>
                                <w:noProof/>
                              </w:rPr>
                              <w:t>5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BC51D8" id="Group 2" o:spid="_x0000_s1026" style="position:absolute;margin-left:15.75pt;margin-top:9.75pt;width:580.05pt;height:24.7pt;z-index:251656704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">
              <v:rect id="Rectangle 3" o:spid="_x0000_s1027" style="position:absolute;left:374;top:14903;width:10207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" fillcolor="#d8d8d8 [2732]" stroked="f" strokecolor="#943634 [2405]">
                <v:textbox>
                  <w:txbxContent>
                    <w:sdt>
                      <w:sdtPr>
                        <w:alias w:val="Address"/>
                        <w:id w:val="1824775188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4226AB" w:rsidRPr="006F2963" w:rsidRDefault="004226AB" w:rsidP="00725986">
                          <w:pPr>
                            <w:pStyle w:val="Footer"/>
                          </w:pPr>
                          <w:r>
                            <w:t xml:space="preserve">Government Prices &amp;Product Benefits- Health System Financing </w:t>
                          </w:r>
                          <w:r w:rsidR="00725986">
                            <w:t>Division</w:t>
                          </w:r>
                          <w:r>
                            <w:t xml:space="preserve">             </w:t>
                          </w:r>
                        </w:p>
                      </w:sdtContent>
                    </w:sdt>
                    <w:p w:rsidR="004226AB" w:rsidRPr="00D8676B" w:rsidRDefault="004226AB">
                      <w:pPr>
                        <w:pStyle w:val="Header"/>
                      </w:pPr>
                    </w:p>
                  </w:txbxContent>
                </v:textbox>
              </v:rect>
              <v:rect id="Rectangle 4" o:spid="_x0000_s1028" style="position:absolute;left:10581;top:14903;width:12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" fillcolor="#d8d8d8 [2732]" stroked="f">
                <v:textbox>
                  <w:txbxContent>
                    <w:p w:rsidR="004226AB" w:rsidRPr="00D8676B" w:rsidRDefault="004226AB" w:rsidP="006F2963">
                      <w:pPr>
                        <w:pStyle w:val="Footer"/>
                      </w:pPr>
                      <w:r w:rsidRPr="00D8676B">
                        <w:t xml:space="preserve">Page </w:t>
                      </w: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9C58C3">
                        <w:rPr>
                          <w:noProof/>
                        </w:rPr>
                        <w:t>5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rect>
              <v:rect id="Rectangle 5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DD8" w:rsidRDefault="003C4DD8" w:rsidP="003E2D16">
      <w:pPr>
        <w:spacing w:after="0" w:line="240" w:lineRule="auto"/>
      </w:pPr>
      <w:r>
        <w:separator/>
      </w:r>
    </w:p>
  </w:footnote>
  <w:footnote w:type="continuationSeparator" w:id="0">
    <w:p w:rsidR="003C4DD8" w:rsidRDefault="003C4DD8" w:rsidP="003E2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AB" w:rsidRDefault="009A416F" w:rsidP="0040699E">
    <w:pPr>
      <w:tabs>
        <w:tab w:val="left" w:pos="5492"/>
      </w:tabs>
      <w:autoSpaceDE w:val="0"/>
      <w:autoSpaceDN w:val="0"/>
      <w:adjustRightInd w:val="0"/>
      <w:spacing w:after="0" w:line="240" w:lineRule="auto"/>
      <w:rPr>
        <w:rFonts w:ascii="TTE43B6098t00" w:hAnsi="TTE43B6098t00" w:cs="TTE43B6098t00"/>
        <w:color w:val="1F497D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92480" cy="722630"/>
          <wp:effectExtent l="0" t="0" r="0" b="0"/>
          <wp:wrapTopAndBottom/>
          <wp:docPr id="6" name="Picture 6" descr="http://portal.haad.ae/Logos/DOH-CMYK-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ortal.haad.ae/Logos/DOH-CMYK-vertic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99E">
      <w:rPr>
        <w:rFonts w:ascii="TTE43B6098t00" w:hAnsi="TTE43B6098t00" w:cs="TTE43B6098t00"/>
        <w:color w:val="1F497D"/>
        <w:sz w:val="18"/>
        <w:szCs w:val="18"/>
      </w:rPr>
      <w:tab/>
    </w:r>
  </w:p>
  <w:p w:rsidR="0040699E" w:rsidRPr="00285DD9" w:rsidRDefault="0040699E" w:rsidP="0040699E">
    <w:pPr>
      <w:tabs>
        <w:tab w:val="left" w:pos="5492"/>
      </w:tabs>
      <w:autoSpaceDE w:val="0"/>
      <w:autoSpaceDN w:val="0"/>
      <w:adjustRightInd w:val="0"/>
      <w:spacing w:after="0" w:line="240" w:lineRule="auto"/>
      <w:rPr>
        <w:rFonts w:ascii="TTE43B6098t00" w:hAnsi="TTE43B6098t00" w:cs="TTE43B6098t00"/>
        <w:color w:val="1F497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98973FF"/>
    <w:multiLevelType w:val="hybridMultilevel"/>
    <w:tmpl w:val="A02E798C"/>
    <w:lvl w:ilvl="0" w:tplc="F216B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4EBB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D6F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2F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10C0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5CE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768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A1C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662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1C0F"/>
    <w:multiLevelType w:val="hybridMultilevel"/>
    <w:tmpl w:val="61569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15454"/>
    <w:multiLevelType w:val="hybridMultilevel"/>
    <w:tmpl w:val="E2463F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122BB0"/>
    <w:multiLevelType w:val="hybridMultilevel"/>
    <w:tmpl w:val="DB7491D0"/>
    <w:lvl w:ilvl="0" w:tplc="55506846">
      <w:start w:val="1"/>
      <w:numFmt w:val="decimal"/>
      <w:lvlText w:val="%1."/>
      <w:lvlJc w:val="left"/>
      <w:pPr>
        <w:ind w:left="483" w:hanging="405"/>
      </w:pPr>
      <w:rPr>
        <w:rFonts w:hint="default"/>
        <w:b/>
        <w:sz w:val="20"/>
        <w:szCs w:val="20"/>
      </w:rPr>
    </w:lvl>
    <w:lvl w:ilvl="1" w:tplc="390E47B8" w:tentative="1">
      <w:start w:val="1"/>
      <w:numFmt w:val="lowerLetter"/>
      <w:lvlText w:val="%2."/>
      <w:lvlJc w:val="left"/>
      <w:pPr>
        <w:ind w:left="1158" w:hanging="360"/>
      </w:pPr>
    </w:lvl>
    <w:lvl w:ilvl="2" w:tplc="CA7EBD8E" w:tentative="1">
      <w:start w:val="1"/>
      <w:numFmt w:val="lowerRoman"/>
      <w:lvlText w:val="%3."/>
      <w:lvlJc w:val="right"/>
      <w:pPr>
        <w:ind w:left="1878" w:hanging="180"/>
      </w:pPr>
    </w:lvl>
    <w:lvl w:ilvl="3" w:tplc="654A3066" w:tentative="1">
      <w:start w:val="1"/>
      <w:numFmt w:val="decimal"/>
      <w:lvlText w:val="%4."/>
      <w:lvlJc w:val="left"/>
      <w:pPr>
        <w:ind w:left="2598" w:hanging="360"/>
      </w:pPr>
    </w:lvl>
    <w:lvl w:ilvl="4" w:tplc="11EE329A" w:tentative="1">
      <w:start w:val="1"/>
      <w:numFmt w:val="lowerLetter"/>
      <w:lvlText w:val="%5."/>
      <w:lvlJc w:val="left"/>
      <w:pPr>
        <w:ind w:left="3318" w:hanging="360"/>
      </w:pPr>
    </w:lvl>
    <w:lvl w:ilvl="5" w:tplc="9A5C42A0" w:tentative="1">
      <w:start w:val="1"/>
      <w:numFmt w:val="lowerRoman"/>
      <w:lvlText w:val="%6."/>
      <w:lvlJc w:val="right"/>
      <w:pPr>
        <w:ind w:left="4038" w:hanging="180"/>
      </w:pPr>
    </w:lvl>
    <w:lvl w:ilvl="6" w:tplc="4790B3C0" w:tentative="1">
      <w:start w:val="1"/>
      <w:numFmt w:val="decimal"/>
      <w:lvlText w:val="%7."/>
      <w:lvlJc w:val="left"/>
      <w:pPr>
        <w:ind w:left="4758" w:hanging="360"/>
      </w:pPr>
    </w:lvl>
    <w:lvl w:ilvl="7" w:tplc="718C7DDA" w:tentative="1">
      <w:start w:val="1"/>
      <w:numFmt w:val="lowerLetter"/>
      <w:lvlText w:val="%8."/>
      <w:lvlJc w:val="left"/>
      <w:pPr>
        <w:ind w:left="5478" w:hanging="360"/>
      </w:pPr>
    </w:lvl>
    <w:lvl w:ilvl="8" w:tplc="9118E1E2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5" w15:restartNumberingAfterBreak="0">
    <w:nsid w:val="5A607064"/>
    <w:multiLevelType w:val="hybridMultilevel"/>
    <w:tmpl w:val="DEA6498E"/>
    <w:lvl w:ilvl="0" w:tplc="486A7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D23C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363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66A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22E3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EEC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1A7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BA85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D66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D26BA"/>
    <w:multiLevelType w:val="hybridMultilevel"/>
    <w:tmpl w:val="C5749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77B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6F512EA"/>
    <w:multiLevelType w:val="multilevel"/>
    <w:tmpl w:val="208AA34C"/>
    <w:name w:val="WW8Num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9AD3A47"/>
    <w:multiLevelType w:val="hybridMultilevel"/>
    <w:tmpl w:val="9D2872AC"/>
    <w:lvl w:ilvl="0" w:tplc="5300AB4C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19D43B8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C86A1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F043A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352146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65488A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026EB5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F0C3AA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A2C2F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BC1C00"/>
    <w:multiLevelType w:val="multilevel"/>
    <w:tmpl w:val="781682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D284BC5"/>
    <w:multiLevelType w:val="hybridMultilevel"/>
    <w:tmpl w:val="BCA0C5AA"/>
    <w:lvl w:ilvl="0" w:tplc="C284D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087588">
      <w:start w:val="1"/>
      <w:numFmt w:val="lowerLetter"/>
      <w:lvlText w:val="%2."/>
      <w:lvlJc w:val="left"/>
      <w:pPr>
        <w:ind w:left="1440" w:hanging="360"/>
      </w:pPr>
    </w:lvl>
    <w:lvl w:ilvl="2" w:tplc="63926B0C" w:tentative="1">
      <w:start w:val="1"/>
      <w:numFmt w:val="lowerRoman"/>
      <w:lvlText w:val="%3."/>
      <w:lvlJc w:val="right"/>
      <w:pPr>
        <w:ind w:left="2160" w:hanging="180"/>
      </w:pPr>
    </w:lvl>
    <w:lvl w:ilvl="3" w:tplc="44062562" w:tentative="1">
      <w:start w:val="1"/>
      <w:numFmt w:val="decimal"/>
      <w:lvlText w:val="%4."/>
      <w:lvlJc w:val="left"/>
      <w:pPr>
        <w:ind w:left="2880" w:hanging="360"/>
      </w:pPr>
    </w:lvl>
    <w:lvl w:ilvl="4" w:tplc="76A8713C" w:tentative="1">
      <w:start w:val="1"/>
      <w:numFmt w:val="lowerLetter"/>
      <w:lvlText w:val="%5."/>
      <w:lvlJc w:val="left"/>
      <w:pPr>
        <w:ind w:left="3600" w:hanging="360"/>
      </w:pPr>
    </w:lvl>
    <w:lvl w:ilvl="5" w:tplc="80F24458" w:tentative="1">
      <w:start w:val="1"/>
      <w:numFmt w:val="lowerRoman"/>
      <w:lvlText w:val="%6."/>
      <w:lvlJc w:val="right"/>
      <w:pPr>
        <w:ind w:left="4320" w:hanging="180"/>
      </w:pPr>
    </w:lvl>
    <w:lvl w:ilvl="6" w:tplc="489287D0" w:tentative="1">
      <w:start w:val="1"/>
      <w:numFmt w:val="decimal"/>
      <w:lvlText w:val="%7."/>
      <w:lvlJc w:val="left"/>
      <w:pPr>
        <w:ind w:left="5040" w:hanging="360"/>
      </w:pPr>
    </w:lvl>
    <w:lvl w:ilvl="7" w:tplc="B7C20D9E" w:tentative="1">
      <w:start w:val="1"/>
      <w:numFmt w:val="lowerLetter"/>
      <w:lvlText w:val="%8."/>
      <w:lvlJc w:val="left"/>
      <w:pPr>
        <w:ind w:left="5760" w:hanging="360"/>
      </w:pPr>
    </w:lvl>
    <w:lvl w:ilvl="8" w:tplc="C71884F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11"/>
  </w:num>
  <w:num w:numId="8">
    <w:abstractNumId w:val="2"/>
  </w:num>
  <w:num w:numId="9">
    <w:abstractNumId w:val="3"/>
  </w:num>
  <w:num w:numId="1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readOnly" w:enforcement="0"/>
  <w:defaultTabStop w:val="720"/>
  <w:drawingGridHorizontalSpacing w:val="108"/>
  <w:drawingGridVerticalSpacing w:val="181"/>
  <w:displayHorizontalDrawingGridEvery w:val="30"/>
  <w:displayVerticalDrawingGridEvery w:val="3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2A"/>
    <w:rsid w:val="000014E4"/>
    <w:rsid w:val="00002DD4"/>
    <w:rsid w:val="000050D2"/>
    <w:rsid w:val="00006A7F"/>
    <w:rsid w:val="00007A21"/>
    <w:rsid w:val="000102ED"/>
    <w:rsid w:val="0001091C"/>
    <w:rsid w:val="00011467"/>
    <w:rsid w:val="00012CC9"/>
    <w:rsid w:val="00016C3F"/>
    <w:rsid w:val="00016EE1"/>
    <w:rsid w:val="00016F4A"/>
    <w:rsid w:val="0002090C"/>
    <w:rsid w:val="00021D6B"/>
    <w:rsid w:val="000275FA"/>
    <w:rsid w:val="000304F3"/>
    <w:rsid w:val="00031B0F"/>
    <w:rsid w:val="0003460A"/>
    <w:rsid w:val="000346C8"/>
    <w:rsid w:val="00035377"/>
    <w:rsid w:val="000370BD"/>
    <w:rsid w:val="0003781B"/>
    <w:rsid w:val="00037D65"/>
    <w:rsid w:val="000407DF"/>
    <w:rsid w:val="0004211E"/>
    <w:rsid w:val="00042B09"/>
    <w:rsid w:val="00050E00"/>
    <w:rsid w:val="000536C1"/>
    <w:rsid w:val="00055866"/>
    <w:rsid w:val="0005638B"/>
    <w:rsid w:val="00057218"/>
    <w:rsid w:val="000617A2"/>
    <w:rsid w:val="00061E08"/>
    <w:rsid w:val="00062725"/>
    <w:rsid w:val="00062776"/>
    <w:rsid w:val="00065002"/>
    <w:rsid w:val="00065C4F"/>
    <w:rsid w:val="0006747E"/>
    <w:rsid w:val="000729FC"/>
    <w:rsid w:val="000754E8"/>
    <w:rsid w:val="00076FC5"/>
    <w:rsid w:val="00081D62"/>
    <w:rsid w:val="00082E31"/>
    <w:rsid w:val="00086477"/>
    <w:rsid w:val="00086C8E"/>
    <w:rsid w:val="000914B9"/>
    <w:rsid w:val="00094C4A"/>
    <w:rsid w:val="00095A29"/>
    <w:rsid w:val="000976C1"/>
    <w:rsid w:val="00097D08"/>
    <w:rsid w:val="000A6A09"/>
    <w:rsid w:val="000A6E74"/>
    <w:rsid w:val="000B13E3"/>
    <w:rsid w:val="000B4590"/>
    <w:rsid w:val="000C0E9F"/>
    <w:rsid w:val="000C1026"/>
    <w:rsid w:val="000C1D96"/>
    <w:rsid w:val="000C4304"/>
    <w:rsid w:val="000C77FF"/>
    <w:rsid w:val="000D347E"/>
    <w:rsid w:val="000D5BDB"/>
    <w:rsid w:val="000D691A"/>
    <w:rsid w:val="000D7F09"/>
    <w:rsid w:val="000E224B"/>
    <w:rsid w:val="000E246F"/>
    <w:rsid w:val="000E2A39"/>
    <w:rsid w:val="000E42AA"/>
    <w:rsid w:val="000E4B7A"/>
    <w:rsid w:val="000E569F"/>
    <w:rsid w:val="000E68B4"/>
    <w:rsid w:val="000F73EC"/>
    <w:rsid w:val="000F7FED"/>
    <w:rsid w:val="0010208E"/>
    <w:rsid w:val="001023F8"/>
    <w:rsid w:val="0010413D"/>
    <w:rsid w:val="00105B99"/>
    <w:rsid w:val="00106E45"/>
    <w:rsid w:val="00107837"/>
    <w:rsid w:val="001132D9"/>
    <w:rsid w:val="001146D4"/>
    <w:rsid w:val="00114B9A"/>
    <w:rsid w:val="00115E9C"/>
    <w:rsid w:val="0011685C"/>
    <w:rsid w:val="00116D57"/>
    <w:rsid w:val="0012294B"/>
    <w:rsid w:val="00123BD6"/>
    <w:rsid w:val="00126CC6"/>
    <w:rsid w:val="001315C8"/>
    <w:rsid w:val="00132934"/>
    <w:rsid w:val="00132B73"/>
    <w:rsid w:val="00135A3C"/>
    <w:rsid w:val="00135F7C"/>
    <w:rsid w:val="001368A8"/>
    <w:rsid w:val="0013721B"/>
    <w:rsid w:val="001424CD"/>
    <w:rsid w:val="00143C04"/>
    <w:rsid w:val="00145370"/>
    <w:rsid w:val="001517B0"/>
    <w:rsid w:val="00151F53"/>
    <w:rsid w:val="00152D69"/>
    <w:rsid w:val="001540BC"/>
    <w:rsid w:val="0015573F"/>
    <w:rsid w:val="00157C25"/>
    <w:rsid w:val="0016279F"/>
    <w:rsid w:val="00163C93"/>
    <w:rsid w:val="0017127A"/>
    <w:rsid w:val="00173B10"/>
    <w:rsid w:val="00176925"/>
    <w:rsid w:val="001824D4"/>
    <w:rsid w:val="001831D9"/>
    <w:rsid w:val="00185A47"/>
    <w:rsid w:val="001951C6"/>
    <w:rsid w:val="001A49E1"/>
    <w:rsid w:val="001A4A50"/>
    <w:rsid w:val="001A63D2"/>
    <w:rsid w:val="001A68D9"/>
    <w:rsid w:val="001A7B2D"/>
    <w:rsid w:val="001B4A7D"/>
    <w:rsid w:val="001B6530"/>
    <w:rsid w:val="001B782D"/>
    <w:rsid w:val="001C09DF"/>
    <w:rsid w:val="001C0F9A"/>
    <w:rsid w:val="001C3678"/>
    <w:rsid w:val="001C3909"/>
    <w:rsid w:val="001C7EB8"/>
    <w:rsid w:val="001D0E64"/>
    <w:rsid w:val="001D0F28"/>
    <w:rsid w:val="001D3CC4"/>
    <w:rsid w:val="001D4C45"/>
    <w:rsid w:val="001D595E"/>
    <w:rsid w:val="001D66AA"/>
    <w:rsid w:val="001D6FF7"/>
    <w:rsid w:val="001E2A63"/>
    <w:rsid w:val="001E4D36"/>
    <w:rsid w:val="001E518B"/>
    <w:rsid w:val="001E7566"/>
    <w:rsid w:val="001F15EA"/>
    <w:rsid w:val="001F1BE3"/>
    <w:rsid w:val="001F368C"/>
    <w:rsid w:val="00201871"/>
    <w:rsid w:val="00202BA1"/>
    <w:rsid w:val="002047A1"/>
    <w:rsid w:val="0020660C"/>
    <w:rsid w:val="00211117"/>
    <w:rsid w:val="00213EDB"/>
    <w:rsid w:val="00216AC2"/>
    <w:rsid w:val="00225E1C"/>
    <w:rsid w:val="00226B09"/>
    <w:rsid w:val="002309B0"/>
    <w:rsid w:val="00232215"/>
    <w:rsid w:val="00232721"/>
    <w:rsid w:val="00233ED4"/>
    <w:rsid w:val="00237898"/>
    <w:rsid w:val="0024066A"/>
    <w:rsid w:val="00241C56"/>
    <w:rsid w:val="002438BB"/>
    <w:rsid w:val="00243A57"/>
    <w:rsid w:val="0025049D"/>
    <w:rsid w:val="00251DC1"/>
    <w:rsid w:val="00254C14"/>
    <w:rsid w:val="002621F4"/>
    <w:rsid w:val="00267A1B"/>
    <w:rsid w:val="00270D27"/>
    <w:rsid w:val="002715E2"/>
    <w:rsid w:val="002745CD"/>
    <w:rsid w:val="00274627"/>
    <w:rsid w:val="002747D1"/>
    <w:rsid w:val="002807AC"/>
    <w:rsid w:val="00280CDD"/>
    <w:rsid w:val="00284848"/>
    <w:rsid w:val="00285DD9"/>
    <w:rsid w:val="00286D2C"/>
    <w:rsid w:val="00291177"/>
    <w:rsid w:val="002933DC"/>
    <w:rsid w:val="00293899"/>
    <w:rsid w:val="0029405A"/>
    <w:rsid w:val="00297054"/>
    <w:rsid w:val="002A1A31"/>
    <w:rsid w:val="002A48CC"/>
    <w:rsid w:val="002A5863"/>
    <w:rsid w:val="002A70CA"/>
    <w:rsid w:val="002B1D2D"/>
    <w:rsid w:val="002B477E"/>
    <w:rsid w:val="002B4B67"/>
    <w:rsid w:val="002C0043"/>
    <w:rsid w:val="002C264E"/>
    <w:rsid w:val="002C2DF9"/>
    <w:rsid w:val="002C3930"/>
    <w:rsid w:val="002C45C9"/>
    <w:rsid w:val="002C7D12"/>
    <w:rsid w:val="002D253A"/>
    <w:rsid w:val="002D6273"/>
    <w:rsid w:val="002D77C2"/>
    <w:rsid w:val="002E6105"/>
    <w:rsid w:val="002F0164"/>
    <w:rsid w:val="002F0544"/>
    <w:rsid w:val="002F0654"/>
    <w:rsid w:val="002F16B5"/>
    <w:rsid w:val="002F30D3"/>
    <w:rsid w:val="002F45FE"/>
    <w:rsid w:val="002F5086"/>
    <w:rsid w:val="002F5129"/>
    <w:rsid w:val="002F7135"/>
    <w:rsid w:val="002F7DB1"/>
    <w:rsid w:val="003009BC"/>
    <w:rsid w:val="0030197A"/>
    <w:rsid w:val="003039DB"/>
    <w:rsid w:val="00306194"/>
    <w:rsid w:val="00306711"/>
    <w:rsid w:val="003106B6"/>
    <w:rsid w:val="003136DE"/>
    <w:rsid w:val="0032185A"/>
    <w:rsid w:val="00322841"/>
    <w:rsid w:val="00322FB7"/>
    <w:rsid w:val="00325D46"/>
    <w:rsid w:val="00330600"/>
    <w:rsid w:val="00333A43"/>
    <w:rsid w:val="00334556"/>
    <w:rsid w:val="003438CF"/>
    <w:rsid w:val="003440B6"/>
    <w:rsid w:val="003462F8"/>
    <w:rsid w:val="0034732D"/>
    <w:rsid w:val="00351025"/>
    <w:rsid w:val="00351937"/>
    <w:rsid w:val="00352ECE"/>
    <w:rsid w:val="00357B8E"/>
    <w:rsid w:val="003631F3"/>
    <w:rsid w:val="0036439A"/>
    <w:rsid w:val="00366F34"/>
    <w:rsid w:val="00366FCD"/>
    <w:rsid w:val="00370CFF"/>
    <w:rsid w:val="00371A4B"/>
    <w:rsid w:val="0037683F"/>
    <w:rsid w:val="00381AF6"/>
    <w:rsid w:val="00384F0E"/>
    <w:rsid w:val="003867A0"/>
    <w:rsid w:val="00386AED"/>
    <w:rsid w:val="003960C6"/>
    <w:rsid w:val="0039618C"/>
    <w:rsid w:val="003A2656"/>
    <w:rsid w:val="003A2A1E"/>
    <w:rsid w:val="003A4B61"/>
    <w:rsid w:val="003A5168"/>
    <w:rsid w:val="003B16B6"/>
    <w:rsid w:val="003B4A50"/>
    <w:rsid w:val="003B6243"/>
    <w:rsid w:val="003B7C0D"/>
    <w:rsid w:val="003C0085"/>
    <w:rsid w:val="003C0D73"/>
    <w:rsid w:val="003C29A9"/>
    <w:rsid w:val="003C4DD8"/>
    <w:rsid w:val="003C7E31"/>
    <w:rsid w:val="003C7F19"/>
    <w:rsid w:val="003D095B"/>
    <w:rsid w:val="003D4446"/>
    <w:rsid w:val="003D6561"/>
    <w:rsid w:val="003D7083"/>
    <w:rsid w:val="003E265F"/>
    <w:rsid w:val="003E2D16"/>
    <w:rsid w:val="003E3B0D"/>
    <w:rsid w:val="003E546D"/>
    <w:rsid w:val="003E77F1"/>
    <w:rsid w:val="003F6F8E"/>
    <w:rsid w:val="004001E2"/>
    <w:rsid w:val="0040097A"/>
    <w:rsid w:val="0040167F"/>
    <w:rsid w:val="004022A5"/>
    <w:rsid w:val="00402B3B"/>
    <w:rsid w:val="00402F35"/>
    <w:rsid w:val="004040F6"/>
    <w:rsid w:val="00404719"/>
    <w:rsid w:val="0040491B"/>
    <w:rsid w:val="00405086"/>
    <w:rsid w:val="00405B80"/>
    <w:rsid w:val="0040699E"/>
    <w:rsid w:val="00415182"/>
    <w:rsid w:val="00415BC2"/>
    <w:rsid w:val="00415DF2"/>
    <w:rsid w:val="004226AB"/>
    <w:rsid w:val="00424190"/>
    <w:rsid w:val="004301AF"/>
    <w:rsid w:val="0043061E"/>
    <w:rsid w:val="004308C0"/>
    <w:rsid w:val="00435C7A"/>
    <w:rsid w:val="00435E4A"/>
    <w:rsid w:val="00437630"/>
    <w:rsid w:val="0044206F"/>
    <w:rsid w:val="00443AE5"/>
    <w:rsid w:val="00445D03"/>
    <w:rsid w:val="00447513"/>
    <w:rsid w:val="00455D38"/>
    <w:rsid w:val="0045660F"/>
    <w:rsid w:val="004574D5"/>
    <w:rsid w:val="004576F7"/>
    <w:rsid w:val="00460570"/>
    <w:rsid w:val="0046118D"/>
    <w:rsid w:val="004638F2"/>
    <w:rsid w:val="00464E28"/>
    <w:rsid w:val="0046615D"/>
    <w:rsid w:val="0046714E"/>
    <w:rsid w:val="00467422"/>
    <w:rsid w:val="00471BC1"/>
    <w:rsid w:val="00472037"/>
    <w:rsid w:val="00480180"/>
    <w:rsid w:val="00480393"/>
    <w:rsid w:val="00480B62"/>
    <w:rsid w:val="004864F7"/>
    <w:rsid w:val="00487FDA"/>
    <w:rsid w:val="004932E4"/>
    <w:rsid w:val="00493961"/>
    <w:rsid w:val="00495073"/>
    <w:rsid w:val="0049633E"/>
    <w:rsid w:val="00496DF7"/>
    <w:rsid w:val="00496E9C"/>
    <w:rsid w:val="004A1092"/>
    <w:rsid w:val="004A1F7F"/>
    <w:rsid w:val="004A6C00"/>
    <w:rsid w:val="004A7E13"/>
    <w:rsid w:val="004B17A3"/>
    <w:rsid w:val="004B4527"/>
    <w:rsid w:val="004B589D"/>
    <w:rsid w:val="004B7459"/>
    <w:rsid w:val="004C2BC4"/>
    <w:rsid w:val="004C3DE7"/>
    <w:rsid w:val="004C7706"/>
    <w:rsid w:val="004D11EC"/>
    <w:rsid w:val="004D6390"/>
    <w:rsid w:val="004D6932"/>
    <w:rsid w:val="004D7847"/>
    <w:rsid w:val="004E23C0"/>
    <w:rsid w:val="004E2FC9"/>
    <w:rsid w:val="004E5AC4"/>
    <w:rsid w:val="004E6069"/>
    <w:rsid w:val="004E69AD"/>
    <w:rsid w:val="004E71DC"/>
    <w:rsid w:val="004E7AF7"/>
    <w:rsid w:val="004F09EA"/>
    <w:rsid w:val="004F0D0F"/>
    <w:rsid w:val="004F10D4"/>
    <w:rsid w:val="004F454B"/>
    <w:rsid w:val="005009C0"/>
    <w:rsid w:val="0050171F"/>
    <w:rsid w:val="00503DAB"/>
    <w:rsid w:val="00506A2D"/>
    <w:rsid w:val="00506A9F"/>
    <w:rsid w:val="00507384"/>
    <w:rsid w:val="00510CEA"/>
    <w:rsid w:val="00510F66"/>
    <w:rsid w:val="00511147"/>
    <w:rsid w:val="0051229C"/>
    <w:rsid w:val="00513315"/>
    <w:rsid w:val="00514230"/>
    <w:rsid w:val="0051461A"/>
    <w:rsid w:val="00514BED"/>
    <w:rsid w:val="005153F3"/>
    <w:rsid w:val="00523393"/>
    <w:rsid w:val="005240B4"/>
    <w:rsid w:val="005336C0"/>
    <w:rsid w:val="005348E3"/>
    <w:rsid w:val="00534931"/>
    <w:rsid w:val="005356FC"/>
    <w:rsid w:val="00535A7F"/>
    <w:rsid w:val="00535D67"/>
    <w:rsid w:val="0053605E"/>
    <w:rsid w:val="00541C9A"/>
    <w:rsid w:val="00542575"/>
    <w:rsid w:val="00542F31"/>
    <w:rsid w:val="005442D4"/>
    <w:rsid w:val="00545F1E"/>
    <w:rsid w:val="0054605A"/>
    <w:rsid w:val="0055210E"/>
    <w:rsid w:val="005532AF"/>
    <w:rsid w:val="0055370F"/>
    <w:rsid w:val="0055378D"/>
    <w:rsid w:val="00555214"/>
    <w:rsid w:val="00560659"/>
    <w:rsid w:val="00564C58"/>
    <w:rsid w:val="0057074E"/>
    <w:rsid w:val="005720AA"/>
    <w:rsid w:val="005728FE"/>
    <w:rsid w:val="00573DB8"/>
    <w:rsid w:val="00574A70"/>
    <w:rsid w:val="00574DEF"/>
    <w:rsid w:val="00577971"/>
    <w:rsid w:val="00583393"/>
    <w:rsid w:val="00584D35"/>
    <w:rsid w:val="005902D1"/>
    <w:rsid w:val="00594AB6"/>
    <w:rsid w:val="00595160"/>
    <w:rsid w:val="00596BE0"/>
    <w:rsid w:val="005A0B14"/>
    <w:rsid w:val="005A1A25"/>
    <w:rsid w:val="005A344E"/>
    <w:rsid w:val="005B1F6D"/>
    <w:rsid w:val="005B2E58"/>
    <w:rsid w:val="005B37A5"/>
    <w:rsid w:val="005B4659"/>
    <w:rsid w:val="005C3721"/>
    <w:rsid w:val="005C4881"/>
    <w:rsid w:val="005D09CD"/>
    <w:rsid w:val="005D15D8"/>
    <w:rsid w:val="005D5E22"/>
    <w:rsid w:val="005D5E7B"/>
    <w:rsid w:val="005E0D20"/>
    <w:rsid w:val="005E1A08"/>
    <w:rsid w:val="005E1EFF"/>
    <w:rsid w:val="005E464A"/>
    <w:rsid w:val="005F00CF"/>
    <w:rsid w:val="005F51D0"/>
    <w:rsid w:val="005F7218"/>
    <w:rsid w:val="0060163E"/>
    <w:rsid w:val="00601CE7"/>
    <w:rsid w:val="00605630"/>
    <w:rsid w:val="00605B00"/>
    <w:rsid w:val="00606453"/>
    <w:rsid w:val="006067C8"/>
    <w:rsid w:val="00606E65"/>
    <w:rsid w:val="00612ACB"/>
    <w:rsid w:val="00614551"/>
    <w:rsid w:val="00624D94"/>
    <w:rsid w:val="00625107"/>
    <w:rsid w:val="00630029"/>
    <w:rsid w:val="00632A35"/>
    <w:rsid w:val="006369AE"/>
    <w:rsid w:val="00637F86"/>
    <w:rsid w:val="006409D3"/>
    <w:rsid w:val="0064195F"/>
    <w:rsid w:val="00641F06"/>
    <w:rsid w:val="00642595"/>
    <w:rsid w:val="00644ABC"/>
    <w:rsid w:val="006506A4"/>
    <w:rsid w:val="00652A95"/>
    <w:rsid w:val="00653AB7"/>
    <w:rsid w:val="00654CA7"/>
    <w:rsid w:val="00656213"/>
    <w:rsid w:val="006562EF"/>
    <w:rsid w:val="00656FFA"/>
    <w:rsid w:val="006574CE"/>
    <w:rsid w:val="00657FAF"/>
    <w:rsid w:val="00660527"/>
    <w:rsid w:val="00662B78"/>
    <w:rsid w:val="00666023"/>
    <w:rsid w:val="006663D1"/>
    <w:rsid w:val="00667C9C"/>
    <w:rsid w:val="00676530"/>
    <w:rsid w:val="006804CA"/>
    <w:rsid w:val="00680800"/>
    <w:rsid w:val="00680F9C"/>
    <w:rsid w:val="00681529"/>
    <w:rsid w:val="006823A4"/>
    <w:rsid w:val="00683473"/>
    <w:rsid w:val="00691249"/>
    <w:rsid w:val="0069602A"/>
    <w:rsid w:val="006973C1"/>
    <w:rsid w:val="006A1529"/>
    <w:rsid w:val="006A36BA"/>
    <w:rsid w:val="006A55AD"/>
    <w:rsid w:val="006A7668"/>
    <w:rsid w:val="006B10E6"/>
    <w:rsid w:val="006B1981"/>
    <w:rsid w:val="006B251C"/>
    <w:rsid w:val="006B2530"/>
    <w:rsid w:val="006B4467"/>
    <w:rsid w:val="006B5CB7"/>
    <w:rsid w:val="006B5D55"/>
    <w:rsid w:val="006C1E59"/>
    <w:rsid w:val="006C3527"/>
    <w:rsid w:val="006C5676"/>
    <w:rsid w:val="006D16CE"/>
    <w:rsid w:val="006D3E5A"/>
    <w:rsid w:val="006D437D"/>
    <w:rsid w:val="006D54F0"/>
    <w:rsid w:val="006D77DA"/>
    <w:rsid w:val="006E0E84"/>
    <w:rsid w:val="006E2139"/>
    <w:rsid w:val="006E29F4"/>
    <w:rsid w:val="006E50FB"/>
    <w:rsid w:val="006E5A3A"/>
    <w:rsid w:val="006F2963"/>
    <w:rsid w:val="006F627A"/>
    <w:rsid w:val="006F679A"/>
    <w:rsid w:val="0070100F"/>
    <w:rsid w:val="00704327"/>
    <w:rsid w:val="0070703E"/>
    <w:rsid w:val="00710F76"/>
    <w:rsid w:val="00711306"/>
    <w:rsid w:val="00712093"/>
    <w:rsid w:val="0071454D"/>
    <w:rsid w:val="007209F3"/>
    <w:rsid w:val="00725986"/>
    <w:rsid w:val="00725E28"/>
    <w:rsid w:val="00730D06"/>
    <w:rsid w:val="007312DD"/>
    <w:rsid w:val="00735B51"/>
    <w:rsid w:val="00735F55"/>
    <w:rsid w:val="00740A63"/>
    <w:rsid w:val="007418D3"/>
    <w:rsid w:val="00745414"/>
    <w:rsid w:val="00750D5C"/>
    <w:rsid w:val="00751431"/>
    <w:rsid w:val="00755979"/>
    <w:rsid w:val="00755A8A"/>
    <w:rsid w:val="00757805"/>
    <w:rsid w:val="007600BB"/>
    <w:rsid w:val="0076690C"/>
    <w:rsid w:val="0076762E"/>
    <w:rsid w:val="007807BD"/>
    <w:rsid w:val="00784200"/>
    <w:rsid w:val="00784B61"/>
    <w:rsid w:val="0078576B"/>
    <w:rsid w:val="0079006D"/>
    <w:rsid w:val="0079088B"/>
    <w:rsid w:val="00791AA1"/>
    <w:rsid w:val="00791B9A"/>
    <w:rsid w:val="0079553D"/>
    <w:rsid w:val="007A0797"/>
    <w:rsid w:val="007A1A4D"/>
    <w:rsid w:val="007A3B25"/>
    <w:rsid w:val="007A5DE6"/>
    <w:rsid w:val="007A608B"/>
    <w:rsid w:val="007B3977"/>
    <w:rsid w:val="007B4C9D"/>
    <w:rsid w:val="007B4F9E"/>
    <w:rsid w:val="007B6AE8"/>
    <w:rsid w:val="007C308B"/>
    <w:rsid w:val="007C406E"/>
    <w:rsid w:val="007C5CEE"/>
    <w:rsid w:val="007C60D1"/>
    <w:rsid w:val="007D65F8"/>
    <w:rsid w:val="007F3FE9"/>
    <w:rsid w:val="007F497E"/>
    <w:rsid w:val="007F6586"/>
    <w:rsid w:val="00803F59"/>
    <w:rsid w:val="00805D25"/>
    <w:rsid w:val="00806881"/>
    <w:rsid w:val="00810DF4"/>
    <w:rsid w:val="0081424D"/>
    <w:rsid w:val="008164DF"/>
    <w:rsid w:val="00816917"/>
    <w:rsid w:val="00816E7A"/>
    <w:rsid w:val="00821C58"/>
    <w:rsid w:val="00824664"/>
    <w:rsid w:val="0083092C"/>
    <w:rsid w:val="00832E63"/>
    <w:rsid w:val="008351C7"/>
    <w:rsid w:val="00835BDF"/>
    <w:rsid w:val="00837AA3"/>
    <w:rsid w:val="008409FB"/>
    <w:rsid w:val="00844226"/>
    <w:rsid w:val="00846292"/>
    <w:rsid w:val="00850FC1"/>
    <w:rsid w:val="00852FEA"/>
    <w:rsid w:val="0085654C"/>
    <w:rsid w:val="0085666A"/>
    <w:rsid w:val="00856FF4"/>
    <w:rsid w:val="0086510C"/>
    <w:rsid w:val="00865571"/>
    <w:rsid w:val="00866EF8"/>
    <w:rsid w:val="008675A1"/>
    <w:rsid w:val="00870DAC"/>
    <w:rsid w:val="00870EC6"/>
    <w:rsid w:val="00871D60"/>
    <w:rsid w:val="008767C3"/>
    <w:rsid w:val="00877C38"/>
    <w:rsid w:val="008814AE"/>
    <w:rsid w:val="0088315F"/>
    <w:rsid w:val="00892338"/>
    <w:rsid w:val="00893E45"/>
    <w:rsid w:val="008965B6"/>
    <w:rsid w:val="008A0CD7"/>
    <w:rsid w:val="008A0D8C"/>
    <w:rsid w:val="008A1B6E"/>
    <w:rsid w:val="008A2456"/>
    <w:rsid w:val="008A2C09"/>
    <w:rsid w:val="008A7355"/>
    <w:rsid w:val="008A798A"/>
    <w:rsid w:val="008B0A3F"/>
    <w:rsid w:val="008B19A1"/>
    <w:rsid w:val="008B1AD5"/>
    <w:rsid w:val="008B23A1"/>
    <w:rsid w:val="008B30A1"/>
    <w:rsid w:val="008B351E"/>
    <w:rsid w:val="008B409B"/>
    <w:rsid w:val="008B5166"/>
    <w:rsid w:val="008B70BC"/>
    <w:rsid w:val="008B76A0"/>
    <w:rsid w:val="008B76B3"/>
    <w:rsid w:val="008C27B2"/>
    <w:rsid w:val="008C3D06"/>
    <w:rsid w:val="008C4DA2"/>
    <w:rsid w:val="008D5338"/>
    <w:rsid w:val="008D5745"/>
    <w:rsid w:val="008E18D6"/>
    <w:rsid w:val="008E3D78"/>
    <w:rsid w:val="008E6D03"/>
    <w:rsid w:val="008F514B"/>
    <w:rsid w:val="008F5D6B"/>
    <w:rsid w:val="00903A60"/>
    <w:rsid w:val="00904C78"/>
    <w:rsid w:val="00906929"/>
    <w:rsid w:val="009106B0"/>
    <w:rsid w:val="00912092"/>
    <w:rsid w:val="0091324D"/>
    <w:rsid w:val="009141BB"/>
    <w:rsid w:val="009152A6"/>
    <w:rsid w:val="009155BB"/>
    <w:rsid w:val="00917499"/>
    <w:rsid w:val="0092057C"/>
    <w:rsid w:val="009277DF"/>
    <w:rsid w:val="009304D5"/>
    <w:rsid w:val="00931B05"/>
    <w:rsid w:val="00933CDE"/>
    <w:rsid w:val="00934068"/>
    <w:rsid w:val="00941798"/>
    <w:rsid w:val="00941DE8"/>
    <w:rsid w:val="00946923"/>
    <w:rsid w:val="00946BDA"/>
    <w:rsid w:val="009544CC"/>
    <w:rsid w:val="00955082"/>
    <w:rsid w:val="00956B70"/>
    <w:rsid w:val="0095707E"/>
    <w:rsid w:val="00960AB0"/>
    <w:rsid w:val="00965F1B"/>
    <w:rsid w:val="00966D00"/>
    <w:rsid w:val="00972279"/>
    <w:rsid w:val="00974046"/>
    <w:rsid w:val="0097485C"/>
    <w:rsid w:val="00975534"/>
    <w:rsid w:val="0097575A"/>
    <w:rsid w:val="009779DF"/>
    <w:rsid w:val="0098001D"/>
    <w:rsid w:val="0098177D"/>
    <w:rsid w:val="00984DBE"/>
    <w:rsid w:val="00991218"/>
    <w:rsid w:val="009914F1"/>
    <w:rsid w:val="009930BB"/>
    <w:rsid w:val="00993A9A"/>
    <w:rsid w:val="009956B2"/>
    <w:rsid w:val="00997673"/>
    <w:rsid w:val="00997C79"/>
    <w:rsid w:val="009A053F"/>
    <w:rsid w:val="009A092A"/>
    <w:rsid w:val="009A1AA3"/>
    <w:rsid w:val="009A416F"/>
    <w:rsid w:val="009A4B7B"/>
    <w:rsid w:val="009B26C2"/>
    <w:rsid w:val="009B2764"/>
    <w:rsid w:val="009B289A"/>
    <w:rsid w:val="009B291F"/>
    <w:rsid w:val="009B30C9"/>
    <w:rsid w:val="009B3717"/>
    <w:rsid w:val="009B5A57"/>
    <w:rsid w:val="009B73EC"/>
    <w:rsid w:val="009C0BFD"/>
    <w:rsid w:val="009C3422"/>
    <w:rsid w:val="009C47F8"/>
    <w:rsid w:val="009C5055"/>
    <w:rsid w:val="009C58C3"/>
    <w:rsid w:val="009C5CF9"/>
    <w:rsid w:val="009D1F55"/>
    <w:rsid w:val="009D35AE"/>
    <w:rsid w:val="009D6910"/>
    <w:rsid w:val="009E376A"/>
    <w:rsid w:val="009F0264"/>
    <w:rsid w:val="009F0E98"/>
    <w:rsid w:val="009F21DA"/>
    <w:rsid w:val="009F3B31"/>
    <w:rsid w:val="009F47AE"/>
    <w:rsid w:val="009F5263"/>
    <w:rsid w:val="009F547A"/>
    <w:rsid w:val="00A01291"/>
    <w:rsid w:val="00A05E7A"/>
    <w:rsid w:val="00A063DA"/>
    <w:rsid w:val="00A06477"/>
    <w:rsid w:val="00A10AAD"/>
    <w:rsid w:val="00A13D3B"/>
    <w:rsid w:val="00A15B9C"/>
    <w:rsid w:val="00A20357"/>
    <w:rsid w:val="00A217B2"/>
    <w:rsid w:val="00A2230B"/>
    <w:rsid w:val="00A23340"/>
    <w:rsid w:val="00A26370"/>
    <w:rsid w:val="00A30151"/>
    <w:rsid w:val="00A30FDB"/>
    <w:rsid w:val="00A3385B"/>
    <w:rsid w:val="00A35DB0"/>
    <w:rsid w:val="00A361A9"/>
    <w:rsid w:val="00A373FE"/>
    <w:rsid w:val="00A43CA6"/>
    <w:rsid w:val="00A450B6"/>
    <w:rsid w:val="00A47FF7"/>
    <w:rsid w:val="00A50799"/>
    <w:rsid w:val="00A50C6D"/>
    <w:rsid w:val="00A517C1"/>
    <w:rsid w:val="00A5466A"/>
    <w:rsid w:val="00A547C2"/>
    <w:rsid w:val="00A55CB1"/>
    <w:rsid w:val="00A55F0E"/>
    <w:rsid w:val="00A56404"/>
    <w:rsid w:val="00A63744"/>
    <w:rsid w:val="00A64185"/>
    <w:rsid w:val="00A81171"/>
    <w:rsid w:val="00A81660"/>
    <w:rsid w:val="00A820B8"/>
    <w:rsid w:val="00A8496C"/>
    <w:rsid w:val="00A8735E"/>
    <w:rsid w:val="00A8737A"/>
    <w:rsid w:val="00A8799F"/>
    <w:rsid w:val="00A909EB"/>
    <w:rsid w:val="00A93905"/>
    <w:rsid w:val="00A96894"/>
    <w:rsid w:val="00AA0C33"/>
    <w:rsid w:val="00AA1EF3"/>
    <w:rsid w:val="00AA288A"/>
    <w:rsid w:val="00AA36A3"/>
    <w:rsid w:val="00AA7114"/>
    <w:rsid w:val="00AB2CEC"/>
    <w:rsid w:val="00AB2D30"/>
    <w:rsid w:val="00AB3A86"/>
    <w:rsid w:val="00AB605F"/>
    <w:rsid w:val="00AB69AC"/>
    <w:rsid w:val="00AB7E11"/>
    <w:rsid w:val="00AC119E"/>
    <w:rsid w:val="00AC23F5"/>
    <w:rsid w:val="00AC4541"/>
    <w:rsid w:val="00AD6F2E"/>
    <w:rsid w:val="00AD79E9"/>
    <w:rsid w:val="00AD7C2B"/>
    <w:rsid w:val="00AE1E14"/>
    <w:rsid w:val="00AE463C"/>
    <w:rsid w:val="00AE668E"/>
    <w:rsid w:val="00AE7D06"/>
    <w:rsid w:val="00AF0192"/>
    <w:rsid w:val="00AF1199"/>
    <w:rsid w:val="00AF156D"/>
    <w:rsid w:val="00AF220E"/>
    <w:rsid w:val="00AF5139"/>
    <w:rsid w:val="00AF5D2E"/>
    <w:rsid w:val="00B03E0B"/>
    <w:rsid w:val="00B045F0"/>
    <w:rsid w:val="00B04D3F"/>
    <w:rsid w:val="00B072AC"/>
    <w:rsid w:val="00B11695"/>
    <w:rsid w:val="00B13187"/>
    <w:rsid w:val="00B139EC"/>
    <w:rsid w:val="00B15A67"/>
    <w:rsid w:val="00B23FBE"/>
    <w:rsid w:val="00B2582A"/>
    <w:rsid w:val="00B408ED"/>
    <w:rsid w:val="00B427A9"/>
    <w:rsid w:val="00B42AD1"/>
    <w:rsid w:val="00B42DA8"/>
    <w:rsid w:val="00B435CA"/>
    <w:rsid w:val="00B43A04"/>
    <w:rsid w:val="00B47AAA"/>
    <w:rsid w:val="00B5094B"/>
    <w:rsid w:val="00B50C62"/>
    <w:rsid w:val="00B51157"/>
    <w:rsid w:val="00B5208C"/>
    <w:rsid w:val="00B52863"/>
    <w:rsid w:val="00B53181"/>
    <w:rsid w:val="00B53CE1"/>
    <w:rsid w:val="00B6235E"/>
    <w:rsid w:val="00B62DD4"/>
    <w:rsid w:val="00B63CA9"/>
    <w:rsid w:val="00B66394"/>
    <w:rsid w:val="00B66851"/>
    <w:rsid w:val="00B67143"/>
    <w:rsid w:val="00B67FC7"/>
    <w:rsid w:val="00B70611"/>
    <w:rsid w:val="00B70772"/>
    <w:rsid w:val="00B70C28"/>
    <w:rsid w:val="00B7117A"/>
    <w:rsid w:val="00B73878"/>
    <w:rsid w:val="00B74420"/>
    <w:rsid w:val="00B750C9"/>
    <w:rsid w:val="00B75BF7"/>
    <w:rsid w:val="00B77507"/>
    <w:rsid w:val="00B775BE"/>
    <w:rsid w:val="00B8420B"/>
    <w:rsid w:val="00B8591E"/>
    <w:rsid w:val="00B8636E"/>
    <w:rsid w:val="00B90BB0"/>
    <w:rsid w:val="00B927AA"/>
    <w:rsid w:val="00BA0AAC"/>
    <w:rsid w:val="00BB16B7"/>
    <w:rsid w:val="00BB23CA"/>
    <w:rsid w:val="00BB5F80"/>
    <w:rsid w:val="00BC08AE"/>
    <w:rsid w:val="00BC2C10"/>
    <w:rsid w:val="00BC42FC"/>
    <w:rsid w:val="00BC45D9"/>
    <w:rsid w:val="00BC722D"/>
    <w:rsid w:val="00BD07D2"/>
    <w:rsid w:val="00BD27D1"/>
    <w:rsid w:val="00BD3E7B"/>
    <w:rsid w:val="00BD447D"/>
    <w:rsid w:val="00BD4AF6"/>
    <w:rsid w:val="00BD6614"/>
    <w:rsid w:val="00BE40EF"/>
    <w:rsid w:val="00BE773F"/>
    <w:rsid w:val="00BE7AC5"/>
    <w:rsid w:val="00BF0C83"/>
    <w:rsid w:val="00BF2515"/>
    <w:rsid w:val="00BF2E41"/>
    <w:rsid w:val="00BF49AF"/>
    <w:rsid w:val="00BF4DC2"/>
    <w:rsid w:val="00BF5644"/>
    <w:rsid w:val="00BF58AC"/>
    <w:rsid w:val="00BF61AF"/>
    <w:rsid w:val="00BF7381"/>
    <w:rsid w:val="00C016A2"/>
    <w:rsid w:val="00C01E7D"/>
    <w:rsid w:val="00C01EE0"/>
    <w:rsid w:val="00C03182"/>
    <w:rsid w:val="00C04B0F"/>
    <w:rsid w:val="00C07D40"/>
    <w:rsid w:val="00C13EB2"/>
    <w:rsid w:val="00C15B5F"/>
    <w:rsid w:val="00C16D26"/>
    <w:rsid w:val="00C220FA"/>
    <w:rsid w:val="00C2228E"/>
    <w:rsid w:val="00C223B8"/>
    <w:rsid w:val="00C22DF5"/>
    <w:rsid w:val="00C31857"/>
    <w:rsid w:val="00C42A18"/>
    <w:rsid w:val="00C47ACC"/>
    <w:rsid w:val="00C602BA"/>
    <w:rsid w:val="00C61878"/>
    <w:rsid w:val="00C624FE"/>
    <w:rsid w:val="00C62C35"/>
    <w:rsid w:val="00C67F3D"/>
    <w:rsid w:val="00C701E2"/>
    <w:rsid w:val="00C7053C"/>
    <w:rsid w:val="00C70E72"/>
    <w:rsid w:val="00C750A1"/>
    <w:rsid w:val="00C7606E"/>
    <w:rsid w:val="00C77D22"/>
    <w:rsid w:val="00C811DC"/>
    <w:rsid w:val="00C8669F"/>
    <w:rsid w:val="00C90385"/>
    <w:rsid w:val="00C921FE"/>
    <w:rsid w:val="00C964B3"/>
    <w:rsid w:val="00C96F8A"/>
    <w:rsid w:val="00CA1C65"/>
    <w:rsid w:val="00CA4250"/>
    <w:rsid w:val="00CB2E27"/>
    <w:rsid w:val="00CB51FC"/>
    <w:rsid w:val="00CC1BA7"/>
    <w:rsid w:val="00CC25A1"/>
    <w:rsid w:val="00CC2CEB"/>
    <w:rsid w:val="00CC4B24"/>
    <w:rsid w:val="00CC4C79"/>
    <w:rsid w:val="00CC54F2"/>
    <w:rsid w:val="00CD1066"/>
    <w:rsid w:val="00CD2746"/>
    <w:rsid w:val="00CD49F0"/>
    <w:rsid w:val="00CD57B2"/>
    <w:rsid w:val="00CD5EDC"/>
    <w:rsid w:val="00CE104F"/>
    <w:rsid w:val="00CE2F35"/>
    <w:rsid w:val="00CE3258"/>
    <w:rsid w:val="00CE40E6"/>
    <w:rsid w:val="00CF336D"/>
    <w:rsid w:val="00CF5475"/>
    <w:rsid w:val="00CF72B4"/>
    <w:rsid w:val="00CF790F"/>
    <w:rsid w:val="00D00895"/>
    <w:rsid w:val="00D01E71"/>
    <w:rsid w:val="00D03FC6"/>
    <w:rsid w:val="00D06F00"/>
    <w:rsid w:val="00D0741C"/>
    <w:rsid w:val="00D10A86"/>
    <w:rsid w:val="00D1119E"/>
    <w:rsid w:val="00D1239D"/>
    <w:rsid w:val="00D127E8"/>
    <w:rsid w:val="00D154F7"/>
    <w:rsid w:val="00D206A3"/>
    <w:rsid w:val="00D218B1"/>
    <w:rsid w:val="00D239EE"/>
    <w:rsid w:val="00D26250"/>
    <w:rsid w:val="00D314C5"/>
    <w:rsid w:val="00D32355"/>
    <w:rsid w:val="00D330CD"/>
    <w:rsid w:val="00D34B98"/>
    <w:rsid w:val="00D36B08"/>
    <w:rsid w:val="00D36EAF"/>
    <w:rsid w:val="00D41C4E"/>
    <w:rsid w:val="00D42B20"/>
    <w:rsid w:val="00D43E2B"/>
    <w:rsid w:val="00D43F1C"/>
    <w:rsid w:val="00D46531"/>
    <w:rsid w:val="00D47924"/>
    <w:rsid w:val="00D511E1"/>
    <w:rsid w:val="00D51F8C"/>
    <w:rsid w:val="00D5347D"/>
    <w:rsid w:val="00D554A1"/>
    <w:rsid w:val="00D55CFC"/>
    <w:rsid w:val="00D5753D"/>
    <w:rsid w:val="00D617CE"/>
    <w:rsid w:val="00D62863"/>
    <w:rsid w:val="00D65126"/>
    <w:rsid w:val="00D65E02"/>
    <w:rsid w:val="00D66A6F"/>
    <w:rsid w:val="00D66B2B"/>
    <w:rsid w:val="00D675F6"/>
    <w:rsid w:val="00D71D28"/>
    <w:rsid w:val="00D73255"/>
    <w:rsid w:val="00D74FC1"/>
    <w:rsid w:val="00D75D8E"/>
    <w:rsid w:val="00D76660"/>
    <w:rsid w:val="00D770D3"/>
    <w:rsid w:val="00D8038D"/>
    <w:rsid w:val="00D85CDE"/>
    <w:rsid w:val="00D8676B"/>
    <w:rsid w:val="00D871F0"/>
    <w:rsid w:val="00D9025A"/>
    <w:rsid w:val="00D936BF"/>
    <w:rsid w:val="00D94046"/>
    <w:rsid w:val="00DA6511"/>
    <w:rsid w:val="00DA6E6A"/>
    <w:rsid w:val="00DB1CAC"/>
    <w:rsid w:val="00DB2B0A"/>
    <w:rsid w:val="00DB381B"/>
    <w:rsid w:val="00DB6BFF"/>
    <w:rsid w:val="00DD102E"/>
    <w:rsid w:val="00DD4897"/>
    <w:rsid w:val="00DD5C1C"/>
    <w:rsid w:val="00DD61DF"/>
    <w:rsid w:val="00DD6247"/>
    <w:rsid w:val="00DD7C47"/>
    <w:rsid w:val="00DE00E6"/>
    <w:rsid w:val="00DE02C5"/>
    <w:rsid w:val="00DE0B18"/>
    <w:rsid w:val="00DE28FE"/>
    <w:rsid w:val="00DE6D1D"/>
    <w:rsid w:val="00DE74A6"/>
    <w:rsid w:val="00DF5288"/>
    <w:rsid w:val="00DF71A0"/>
    <w:rsid w:val="00E00A91"/>
    <w:rsid w:val="00E01A16"/>
    <w:rsid w:val="00E02BF5"/>
    <w:rsid w:val="00E03E9F"/>
    <w:rsid w:val="00E076C7"/>
    <w:rsid w:val="00E10D07"/>
    <w:rsid w:val="00E12D22"/>
    <w:rsid w:val="00E14390"/>
    <w:rsid w:val="00E14855"/>
    <w:rsid w:val="00E156A7"/>
    <w:rsid w:val="00E15F87"/>
    <w:rsid w:val="00E1777A"/>
    <w:rsid w:val="00E226A2"/>
    <w:rsid w:val="00E3026B"/>
    <w:rsid w:val="00E30E4E"/>
    <w:rsid w:val="00E319CE"/>
    <w:rsid w:val="00E37AF4"/>
    <w:rsid w:val="00E40B06"/>
    <w:rsid w:val="00E421C3"/>
    <w:rsid w:val="00E43998"/>
    <w:rsid w:val="00E4408E"/>
    <w:rsid w:val="00E44D66"/>
    <w:rsid w:val="00E46B17"/>
    <w:rsid w:val="00E46D08"/>
    <w:rsid w:val="00E4738A"/>
    <w:rsid w:val="00E509A3"/>
    <w:rsid w:val="00E51058"/>
    <w:rsid w:val="00E513EF"/>
    <w:rsid w:val="00E531B1"/>
    <w:rsid w:val="00E546D0"/>
    <w:rsid w:val="00E55BC2"/>
    <w:rsid w:val="00E576A6"/>
    <w:rsid w:val="00E600A3"/>
    <w:rsid w:val="00E63460"/>
    <w:rsid w:val="00E64AA1"/>
    <w:rsid w:val="00E64E00"/>
    <w:rsid w:val="00E652FB"/>
    <w:rsid w:val="00E6539E"/>
    <w:rsid w:val="00E664A3"/>
    <w:rsid w:val="00E6661C"/>
    <w:rsid w:val="00E67327"/>
    <w:rsid w:val="00E7004E"/>
    <w:rsid w:val="00E70D9D"/>
    <w:rsid w:val="00E76266"/>
    <w:rsid w:val="00E821B0"/>
    <w:rsid w:val="00E91F17"/>
    <w:rsid w:val="00E968B2"/>
    <w:rsid w:val="00EA208C"/>
    <w:rsid w:val="00EA3070"/>
    <w:rsid w:val="00EA3AE7"/>
    <w:rsid w:val="00EA4775"/>
    <w:rsid w:val="00EA5E55"/>
    <w:rsid w:val="00EA6E09"/>
    <w:rsid w:val="00EA7B51"/>
    <w:rsid w:val="00EB2589"/>
    <w:rsid w:val="00EB46A5"/>
    <w:rsid w:val="00EB4753"/>
    <w:rsid w:val="00EB6915"/>
    <w:rsid w:val="00EB7F13"/>
    <w:rsid w:val="00EC0BC6"/>
    <w:rsid w:val="00EC1CD1"/>
    <w:rsid w:val="00EC482D"/>
    <w:rsid w:val="00EC56BC"/>
    <w:rsid w:val="00EC5E29"/>
    <w:rsid w:val="00ED0240"/>
    <w:rsid w:val="00ED3B5D"/>
    <w:rsid w:val="00ED4233"/>
    <w:rsid w:val="00ED458A"/>
    <w:rsid w:val="00ED7CC6"/>
    <w:rsid w:val="00EE31EA"/>
    <w:rsid w:val="00EE33D7"/>
    <w:rsid w:val="00EE5E68"/>
    <w:rsid w:val="00EF05D3"/>
    <w:rsid w:val="00EF1BED"/>
    <w:rsid w:val="00EF3F6F"/>
    <w:rsid w:val="00EF46B9"/>
    <w:rsid w:val="00EF6972"/>
    <w:rsid w:val="00EF72D1"/>
    <w:rsid w:val="00EF7FBA"/>
    <w:rsid w:val="00F00E9A"/>
    <w:rsid w:val="00F05FEE"/>
    <w:rsid w:val="00F10B5D"/>
    <w:rsid w:val="00F130DC"/>
    <w:rsid w:val="00F13B55"/>
    <w:rsid w:val="00F1576E"/>
    <w:rsid w:val="00F16161"/>
    <w:rsid w:val="00F21FF2"/>
    <w:rsid w:val="00F24F6D"/>
    <w:rsid w:val="00F258F3"/>
    <w:rsid w:val="00F26E9D"/>
    <w:rsid w:val="00F3072F"/>
    <w:rsid w:val="00F30D18"/>
    <w:rsid w:val="00F35A7E"/>
    <w:rsid w:val="00F41D90"/>
    <w:rsid w:val="00F42D75"/>
    <w:rsid w:val="00F46596"/>
    <w:rsid w:val="00F4718F"/>
    <w:rsid w:val="00F50905"/>
    <w:rsid w:val="00F55311"/>
    <w:rsid w:val="00F55F5B"/>
    <w:rsid w:val="00F5693E"/>
    <w:rsid w:val="00F56E15"/>
    <w:rsid w:val="00F57B0B"/>
    <w:rsid w:val="00F61C47"/>
    <w:rsid w:val="00F63A75"/>
    <w:rsid w:val="00F63CFE"/>
    <w:rsid w:val="00F67B87"/>
    <w:rsid w:val="00F71508"/>
    <w:rsid w:val="00F71552"/>
    <w:rsid w:val="00F7188B"/>
    <w:rsid w:val="00F72090"/>
    <w:rsid w:val="00F74277"/>
    <w:rsid w:val="00F7639A"/>
    <w:rsid w:val="00F81361"/>
    <w:rsid w:val="00F90BE1"/>
    <w:rsid w:val="00F945A6"/>
    <w:rsid w:val="00F94C9C"/>
    <w:rsid w:val="00F958F8"/>
    <w:rsid w:val="00FA0A8A"/>
    <w:rsid w:val="00FA11CC"/>
    <w:rsid w:val="00FA2185"/>
    <w:rsid w:val="00FA543F"/>
    <w:rsid w:val="00FA5759"/>
    <w:rsid w:val="00FA78CB"/>
    <w:rsid w:val="00FB026F"/>
    <w:rsid w:val="00FB1230"/>
    <w:rsid w:val="00FB13DC"/>
    <w:rsid w:val="00FB1915"/>
    <w:rsid w:val="00FB21EB"/>
    <w:rsid w:val="00FB266D"/>
    <w:rsid w:val="00FB55A1"/>
    <w:rsid w:val="00FB7C63"/>
    <w:rsid w:val="00FD09A1"/>
    <w:rsid w:val="00FD4F6C"/>
    <w:rsid w:val="00FD5127"/>
    <w:rsid w:val="00FD6069"/>
    <w:rsid w:val="00FD6C69"/>
    <w:rsid w:val="00FD7524"/>
    <w:rsid w:val="00FD7560"/>
    <w:rsid w:val="00FE024C"/>
    <w:rsid w:val="00FE2E1B"/>
    <w:rsid w:val="00FE5053"/>
    <w:rsid w:val="00FE6415"/>
    <w:rsid w:val="00FF0193"/>
    <w:rsid w:val="00FF18EA"/>
    <w:rsid w:val="00FF1B7F"/>
    <w:rsid w:val="00F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49BE3"/>
  <w15:docId w15:val="{7CFEE1D5-8009-4DBE-8855-97B9F6E3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51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1218"/>
    <w:pPr>
      <w:keepNext/>
      <w:keepLines/>
      <w:spacing w:before="200" w:after="0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1218"/>
    <w:pPr>
      <w:keepNext/>
      <w:keepLines/>
      <w:spacing w:before="200" w:after="0"/>
      <w:ind w:left="720" w:hanging="72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1218"/>
    <w:pPr>
      <w:keepNext/>
      <w:keepLines/>
      <w:spacing w:before="200" w:after="0"/>
      <w:ind w:left="864" w:hanging="864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218"/>
    <w:pPr>
      <w:keepNext/>
      <w:keepLines/>
      <w:spacing w:before="200" w:after="0"/>
      <w:ind w:left="1008" w:hanging="1008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218"/>
    <w:pPr>
      <w:keepNext/>
      <w:keepLines/>
      <w:spacing w:before="200" w:after="0"/>
      <w:ind w:left="1152" w:hanging="1152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218"/>
    <w:pPr>
      <w:keepNext/>
      <w:keepLines/>
      <w:spacing w:before="200" w:after="0"/>
      <w:ind w:left="1296" w:hanging="1296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218"/>
    <w:pPr>
      <w:keepNext/>
      <w:keepLines/>
      <w:spacing w:before="200" w:after="0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218"/>
    <w:pPr>
      <w:keepNext/>
      <w:keepLines/>
      <w:spacing w:before="200" w:after="0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02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1119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1119E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E2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D16"/>
  </w:style>
  <w:style w:type="paragraph" w:styleId="Footer">
    <w:name w:val="footer"/>
    <w:basedOn w:val="Normal"/>
    <w:link w:val="FooterChar"/>
    <w:uiPriority w:val="99"/>
    <w:unhideWhenUsed/>
    <w:rsid w:val="006F2963"/>
    <w:pPr>
      <w:tabs>
        <w:tab w:val="center" w:pos="4680"/>
        <w:tab w:val="right" w:pos="9360"/>
      </w:tabs>
      <w:spacing w:after="0" w:line="240" w:lineRule="auto"/>
    </w:pPr>
    <w:rPr>
      <w:b/>
      <w:spacing w:val="6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F2963"/>
    <w:rPr>
      <w:b/>
      <w:spacing w:val="60"/>
      <w:sz w:val="16"/>
      <w:szCs w:val="16"/>
    </w:rPr>
  </w:style>
  <w:style w:type="table" w:styleId="TableGrid">
    <w:name w:val="Table Grid"/>
    <w:basedOn w:val="TableNormal"/>
    <w:uiPriority w:val="59"/>
    <w:rsid w:val="003E2D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15E9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AHeading">
    <w:name w:val="toa heading"/>
    <w:basedOn w:val="Normal"/>
    <w:next w:val="Normal"/>
    <w:uiPriority w:val="99"/>
    <w:semiHidden/>
    <w:unhideWhenUsed/>
    <w:rsid w:val="0062510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25107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25107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B13187"/>
    <w:pPr>
      <w:spacing w:after="100"/>
    </w:pPr>
    <w:rPr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625107"/>
    <w:pPr>
      <w:spacing w:after="100"/>
      <w:ind w:left="440"/>
    </w:pPr>
  </w:style>
  <w:style w:type="table" w:customStyle="1" w:styleId="LightGrid1">
    <w:name w:val="Light Grid1"/>
    <w:basedOn w:val="TableNormal"/>
    <w:uiPriority w:val="62"/>
    <w:rsid w:val="00AB69A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6">
    <w:name w:val="Light Grid Accent 6"/>
    <w:basedOn w:val="TableNormal"/>
    <w:uiPriority w:val="62"/>
    <w:rsid w:val="00AB69A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1318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30E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30E4E"/>
    <w:rPr>
      <w:rFonts w:ascii="Consolas" w:eastAsiaTheme="minorEastAsia" w:hAnsi="Consolas"/>
      <w:sz w:val="21"/>
      <w:szCs w:val="21"/>
    </w:rPr>
  </w:style>
  <w:style w:type="character" w:styleId="CommentReference">
    <w:name w:val="annotation reference"/>
    <w:basedOn w:val="DefaultParagraphFont"/>
    <w:unhideWhenUsed/>
    <w:rsid w:val="00E30E4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30E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E4E"/>
    <w:rPr>
      <w:rFonts w:eastAsiaTheme="minorEastAsia"/>
      <w:sz w:val="20"/>
      <w:szCs w:val="20"/>
    </w:rPr>
  </w:style>
  <w:style w:type="paragraph" w:customStyle="1" w:styleId="Heading">
    <w:name w:val="Heading"/>
    <w:basedOn w:val="Normal"/>
    <w:next w:val="Normal"/>
    <w:rsid w:val="00E30E4E"/>
    <w:pPr>
      <w:keepNext/>
      <w:suppressAutoHyphens/>
      <w:autoSpaceDN w:val="0"/>
      <w:spacing w:before="240" w:after="120" w:line="240" w:lineRule="auto"/>
      <w:textAlignment w:val="baseline"/>
    </w:pPr>
    <w:rPr>
      <w:rFonts w:ascii="Arial" w:eastAsia="DejaVu Sans" w:hAnsi="Arial" w:cs="DejaVu Sans"/>
      <w:color w:val="000000"/>
      <w:kern w:val="3"/>
      <w:sz w:val="28"/>
      <w:szCs w:val="28"/>
    </w:rPr>
  </w:style>
  <w:style w:type="paragraph" w:customStyle="1" w:styleId="synopsis">
    <w:name w:val="synopsis"/>
    <w:basedOn w:val="Normal"/>
    <w:rsid w:val="00D4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4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6531"/>
    <w:rPr>
      <w:b/>
      <w:bCs/>
    </w:rPr>
  </w:style>
  <w:style w:type="character" w:customStyle="1" w:styleId="WW8Num7z1">
    <w:name w:val="WW8Num7z1"/>
    <w:rsid w:val="00BB23CA"/>
    <w:rPr>
      <w:rFonts w:ascii="Courier New" w:hAnsi="Courier New" w:cs="Wingdings"/>
    </w:rPr>
  </w:style>
  <w:style w:type="paragraph" w:styleId="BodyText">
    <w:name w:val="Body Text"/>
    <w:basedOn w:val="Normal"/>
    <w:link w:val="BodyTextChar"/>
    <w:rsid w:val="00BB23CA"/>
    <w:pPr>
      <w:suppressAutoHyphens/>
      <w:spacing w:after="240" w:line="240" w:lineRule="auto"/>
      <w:jc w:val="both"/>
    </w:pPr>
    <w:rPr>
      <w:rFonts w:ascii="Times New Roman" w:eastAsia="Calibri" w:hAnsi="Times New Roman" w:cs="Times New Roman"/>
      <w:sz w:val="24"/>
      <w:szCs w:val="24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BB23CA"/>
    <w:rPr>
      <w:rFonts w:ascii="Times New Roman" w:eastAsia="Calibri" w:hAnsi="Times New Roman" w:cs="Times New Roman"/>
      <w:sz w:val="24"/>
      <w:szCs w:val="24"/>
      <w:lang w:val="en-GB" w:eastAsia="ar-SA"/>
    </w:rPr>
  </w:style>
  <w:style w:type="table" w:styleId="LightGrid-Accent2">
    <w:name w:val="Light Grid Accent 2"/>
    <w:basedOn w:val="TableNormal"/>
    <w:uiPriority w:val="62"/>
    <w:rsid w:val="00EA3AE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Emphasis">
    <w:name w:val="Emphasis"/>
    <w:basedOn w:val="DefaultParagraphFont"/>
    <w:uiPriority w:val="20"/>
    <w:qFormat/>
    <w:rsid w:val="00C921FE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BF2515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4B3"/>
    <w:rPr>
      <w:rFonts w:eastAsiaTheme="minorEastAsia"/>
      <w:b/>
      <w:bCs/>
      <w:sz w:val="20"/>
      <w:szCs w:val="20"/>
    </w:rPr>
  </w:style>
  <w:style w:type="paragraph" w:customStyle="1" w:styleId="MediumGrid1-Accent21">
    <w:name w:val="Medium Grid 1 - Accent 21"/>
    <w:basedOn w:val="Normal"/>
    <w:rsid w:val="00EB46A5"/>
    <w:pPr>
      <w:suppressAutoHyphens/>
      <w:ind w:left="720"/>
    </w:pPr>
    <w:rPr>
      <w:rFonts w:ascii="Calibri" w:eastAsia="Times New Roman" w:hAnsi="Calibri" w:cs="Arial"/>
      <w:lang w:val="de-DE" w:eastAsia="ar-SA"/>
    </w:rPr>
  </w:style>
  <w:style w:type="paragraph" w:customStyle="1" w:styleId="Default">
    <w:name w:val="Default"/>
    <w:rsid w:val="001424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detext">
    <w:name w:val="nodetext"/>
    <w:basedOn w:val="DefaultParagraphFont"/>
    <w:rsid w:val="00EB7F13"/>
  </w:style>
  <w:style w:type="paragraph" w:customStyle="1" w:styleId="cptcode-no-indent">
    <w:name w:val="cptcode-no-indent"/>
    <w:basedOn w:val="Normal"/>
    <w:rsid w:val="00E64E00"/>
    <w:pPr>
      <w:spacing w:before="100" w:beforeAutospacing="1" w:after="0" w:line="240" w:lineRule="auto"/>
    </w:pPr>
    <w:rPr>
      <w:rFonts w:ascii="Arial, Helvetica, sans-serif" w:eastAsia="Times New Roman" w:hAnsi="Arial, Helvetica, sans-serif" w:cs="Times New Roman"/>
    </w:rPr>
  </w:style>
  <w:style w:type="table" w:styleId="LightGrid">
    <w:name w:val="Light Grid"/>
    <w:basedOn w:val="TableNormal"/>
    <w:uiPriority w:val="62"/>
    <w:rsid w:val="00F57B0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F57B0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99121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1218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99121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218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218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218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21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218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0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0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92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8965">
              <w:marLeft w:val="284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5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8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27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12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doh.gov.ae/en/Shafafiya/reportin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2011-02-01T00:00:00</PublishDate>
  <Abstract> Version</Abstract>
  <CompanyAddress>Government Prices &amp;Product Benefits- Health System Financing Division            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B4E4A3-FE59-4A0A-B49D-411179C3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15 to HAAD Claims &amp; Adjudication Rules</vt:lpstr>
    </vt:vector>
  </TitlesOfParts>
  <Company>Health Authority of Abu Dhabi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15 to DOH Claims &amp; Adjudication Rules</dc:title>
  <dc:subject>Including the Mandatory Tariff Pricelist Application Rules.</dc:subject>
  <dc:creator>Health Systems Financing Department</dc:creator>
  <cp:lastModifiedBy>Aziza Musabah Al Memari</cp:lastModifiedBy>
  <cp:revision>8</cp:revision>
  <cp:lastPrinted>2018-01-28T10:43:00Z</cp:lastPrinted>
  <dcterms:created xsi:type="dcterms:W3CDTF">2020-08-03T12:11:00Z</dcterms:created>
  <dcterms:modified xsi:type="dcterms:W3CDTF">2021-02-10T09:28:00Z</dcterms:modified>
</cp:coreProperties>
</file>