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color w:val="17365D" w:themeColor="text2" w:themeShade="BF"/>
          <w:sz w:val="24"/>
          <w:szCs w:val="24"/>
        </w:rPr>
        <w:id w:val="606662403"/>
        <w:docPartObj>
          <w:docPartGallery w:val="Cover Pages"/>
          <w:docPartUnique/>
        </w:docPartObj>
      </w:sdtPr>
      <w:sdtEndPr>
        <w:rPr>
          <w:b/>
          <w:bCs/>
          <w:smallCaps/>
        </w:rPr>
      </w:sdtEndPr>
      <w:sdtContent>
        <w:p w14:paraId="37A37EBD" w14:textId="77777777" w:rsidR="00805D25" w:rsidRPr="0015573F" w:rsidRDefault="00805D25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1641F221" w14:textId="77777777" w:rsidR="00C77D22" w:rsidRPr="0015573F" w:rsidRDefault="009A416F" w:rsidP="00F61C47">
          <w:pPr>
            <w:tabs>
              <w:tab w:val="left" w:pos="4123"/>
            </w:tabs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3D983ACB" wp14:editId="141448D4">
                <wp:simplePos x="0" y="0"/>
                <wp:positionH relativeFrom="margin">
                  <wp:posOffset>865068</wp:posOffset>
                </wp:positionH>
                <wp:positionV relativeFrom="paragraph">
                  <wp:posOffset>221367</wp:posOffset>
                </wp:positionV>
                <wp:extent cx="4366049" cy="3982720"/>
                <wp:effectExtent l="0" t="0" r="0" b="0"/>
                <wp:wrapNone/>
                <wp:docPr id="5" name="Picture 5" descr="http://portal.haad.ae/Logos/DOH-CMYK-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rtal.haad.ae/Logos/DOH-CMYK-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6049" cy="398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61C47">
            <w:rPr>
              <w:rFonts w:cstheme="minorHAnsi"/>
              <w:color w:val="17365D" w:themeColor="text2" w:themeShade="BF"/>
              <w:sz w:val="24"/>
              <w:szCs w:val="24"/>
            </w:rPr>
            <w:tab/>
          </w:r>
        </w:p>
        <w:p w14:paraId="7AF28AD1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45C461EC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19ED6717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tbl>
          <w:tblPr>
            <w:tblpPr w:leftFromText="187" w:rightFromText="187" w:vertAnchor="page" w:horzAnchor="margin" w:tblpXSpec="center" w:tblpY="976"/>
            <w:tblW w:w="58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7292"/>
            <w:gridCol w:w="2391"/>
            <w:gridCol w:w="1697"/>
          </w:tblGrid>
          <w:tr w:rsidR="008965B6" w:rsidRPr="0015573F" w14:paraId="4C82D5CD" w14:textId="77777777" w:rsidTr="00455D38">
            <w:trPr>
              <w:trHeight w:val="3146"/>
            </w:trPr>
            <w:tc>
              <w:tcPr>
                <w:tcW w:w="7597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4398945A" w14:textId="4F1610D6" w:rsidR="00D218B1" w:rsidRPr="005C3721" w:rsidRDefault="00C55661" w:rsidP="002F016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Theme="majorEastAsia" w:cstheme="minorHAnsi"/>
                    <w:color w:val="17365D" w:themeColor="text2" w:themeShade="BF"/>
                    <w:sz w:val="52"/>
                    <w:szCs w:val="52"/>
                  </w:rPr>
                </w:pPr>
                <w:sdt>
                  <w:sdtPr>
                    <w:rPr>
                      <w:rFonts w:cstheme="minorHAnsi"/>
                      <w:b/>
                      <w:bCs/>
                      <w:color w:val="17365D" w:themeColor="text2" w:themeShade="BF"/>
                      <w:sz w:val="52"/>
                      <w:szCs w:val="52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0B74D1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</w:rPr>
                      <w:t xml:space="preserve">Addendum </w:t>
                    </w:r>
                    <w:r w:rsidR="00C82180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</w:rPr>
                      <w:t>31</w:t>
                    </w:r>
                    <w:r w:rsidR="000B74D1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</w:rPr>
                      <w:t xml:space="preserve"> to DOH Claims &amp; Adjudication Rules</w:t>
                    </w:r>
                  </w:sdtContent>
                </w:sdt>
              </w:p>
            </w:tc>
            <w:tc>
              <w:tcPr>
                <w:tcW w:w="4284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4F8026F9" w14:textId="77777777" w:rsidR="00E7004E" w:rsidRPr="0015573F" w:rsidRDefault="00E7004E" w:rsidP="00C77D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  <w:r w:rsidRPr="0015573F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Version</w:t>
                </w:r>
              </w:p>
              <w:p w14:paraId="0263F5FA" w14:textId="77777777" w:rsidR="00E7004E" w:rsidRPr="0015573F" w:rsidRDefault="00E7004E" w:rsidP="00455D38">
                <w:pPr>
                  <w:pStyle w:val="NoSpacing"/>
                  <w:jc w:val="both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</w:p>
              <w:p w14:paraId="4FE0314A" w14:textId="77777777" w:rsidR="00D218B1" w:rsidRPr="005C3721" w:rsidRDefault="00E7004E" w:rsidP="007D65F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</w:pPr>
                <w:r w:rsidRPr="005C3721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V201</w:t>
                </w:r>
                <w:r w:rsidR="007D65F8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2</w:t>
                </w:r>
              </w:p>
              <w:p w14:paraId="66CFC9EF" w14:textId="77777777" w:rsidR="005C3721" w:rsidRPr="0015573F" w:rsidRDefault="005C3721" w:rsidP="00E3026B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17365D" w:themeColor="text2" w:themeShade="BF"/>
                    <w:sz w:val="52"/>
                    <w:szCs w:val="52"/>
                  </w:rPr>
                </w:pPr>
              </w:p>
            </w:tc>
          </w:tr>
          <w:tr w:rsidR="008965B6" w:rsidRPr="0015573F" w14:paraId="3DD0F121" w14:textId="77777777" w:rsidTr="00057218">
            <w:trPr>
              <w:trHeight w:val="1301"/>
            </w:trPr>
            <w:sdt>
              <w:sdtPr>
                <w:rPr>
                  <w:rFonts w:cstheme="minorHAnsi"/>
                  <w:b/>
                  <w:bCs/>
                  <w:color w:val="17365D" w:themeColor="text2" w:themeShade="BF"/>
                  <w:sz w:val="28"/>
                  <w:szCs w:val="28"/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10116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5250FC9A" w14:textId="77777777" w:rsidR="00D218B1" w:rsidRPr="0015573F" w:rsidRDefault="003D77B4" w:rsidP="00C77D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t>Including the Mandatory Tariff Pricelist Application Rules.</w:t>
                    </w:r>
                  </w:p>
                </w:tc>
              </w:sdtContent>
            </w:sdt>
            <w:tc>
              <w:tcPr>
                <w:tcW w:w="1765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07F785B4" w14:textId="77777777" w:rsidR="00D218B1" w:rsidRPr="0015573F" w:rsidRDefault="00D218B1" w:rsidP="00455D38">
                <w:pPr>
                  <w:pStyle w:val="NoSpacing"/>
                  <w:jc w:val="both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</w:p>
            </w:tc>
          </w:tr>
        </w:tbl>
        <w:p w14:paraId="13BF554F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2E3874C4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46E45E77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4208DE36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6941956E" w14:textId="77777777" w:rsidR="00791B9A" w:rsidRDefault="00791B9A" w:rsidP="00C77D22">
          <w:pPr>
            <w:jc w:val="center"/>
            <w:rPr>
              <w:rFonts w:cstheme="minorHAnsi"/>
              <w:smallCaps/>
              <w:color w:val="17365D" w:themeColor="text2" w:themeShade="BF"/>
              <w:sz w:val="24"/>
              <w:szCs w:val="24"/>
            </w:rPr>
          </w:pPr>
        </w:p>
        <w:p w14:paraId="140E98AC" w14:textId="77777777" w:rsidR="00791B9A" w:rsidRDefault="00791B9A" w:rsidP="00C77D22">
          <w:pPr>
            <w:jc w:val="center"/>
            <w:rPr>
              <w:rFonts w:cstheme="minorHAnsi"/>
              <w:smallCaps/>
              <w:color w:val="17365D" w:themeColor="text2" w:themeShade="BF"/>
              <w:sz w:val="24"/>
              <w:szCs w:val="24"/>
            </w:rPr>
          </w:pPr>
        </w:p>
        <w:p w14:paraId="0F03ADB1" w14:textId="77777777" w:rsidR="00805D25" w:rsidRPr="0015573F" w:rsidRDefault="00C55661" w:rsidP="00C77D22">
          <w:pPr>
            <w:jc w:val="center"/>
            <w:rPr>
              <w:rFonts w:cstheme="minorHAnsi"/>
              <w:smallCaps/>
              <w:color w:val="17365D" w:themeColor="text2" w:themeShade="BF"/>
              <w:sz w:val="24"/>
              <w:szCs w:val="24"/>
            </w:rPr>
          </w:pPr>
        </w:p>
      </w:sdtContent>
    </w:sdt>
    <w:p w14:paraId="1B2B236A" w14:textId="77777777" w:rsidR="008409FB" w:rsidRDefault="008409FB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60FA5141" w14:textId="77777777" w:rsidR="005C3721" w:rsidRDefault="005C3721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7E0C09D8" w14:textId="77777777" w:rsidR="005C3721" w:rsidRDefault="005C3721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2EE29E81" w14:textId="77777777" w:rsidR="005C3721" w:rsidRPr="00B71013" w:rsidRDefault="005C3721" w:rsidP="005C3721">
      <w:pPr>
        <w:rPr>
          <w:rFonts w:cs="Calibri"/>
          <w:b/>
          <w:bCs/>
          <w:sz w:val="10"/>
          <w:szCs w:val="10"/>
        </w:rPr>
      </w:pPr>
    </w:p>
    <w:p w14:paraId="46E7783B" w14:textId="77777777" w:rsidR="005C3721" w:rsidRPr="00991218" w:rsidRDefault="005C3721" w:rsidP="009155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991218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Purpose of this Document.</w:t>
      </w:r>
    </w:p>
    <w:p w14:paraId="38FC4035" w14:textId="77777777" w:rsidR="005C3721" w:rsidRPr="00660527" w:rsidRDefault="005C3721" w:rsidP="005C372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17365D" w:themeColor="text2" w:themeShade="BF"/>
          <w:sz w:val="14"/>
          <w:szCs w:val="14"/>
        </w:rPr>
      </w:pPr>
    </w:p>
    <w:p w14:paraId="403803C0" w14:textId="3C482137" w:rsidR="00A8737A" w:rsidRPr="007074E9" w:rsidRDefault="00BC42FC" w:rsidP="00987D71">
      <w:pPr>
        <w:pStyle w:val="ListParagraph"/>
        <w:spacing w:after="0" w:line="240" w:lineRule="auto"/>
        <w:jc w:val="both"/>
        <w:rPr>
          <w:rFonts w:cstheme="minorHAnsi"/>
          <w:color w:val="17365D"/>
          <w:sz w:val="24"/>
          <w:szCs w:val="24"/>
        </w:rPr>
      </w:pPr>
      <w:r w:rsidRPr="00BC42FC">
        <w:rPr>
          <w:rFonts w:cstheme="minorHAnsi"/>
          <w:color w:val="17365D" w:themeColor="text2" w:themeShade="BF"/>
          <w:sz w:val="24"/>
          <w:szCs w:val="24"/>
        </w:rPr>
        <w:t xml:space="preserve">This </w:t>
      </w:r>
      <w:r w:rsidRPr="0036439A">
        <w:rPr>
          <w:rFonts w:cstheme="minorHAnsi"/>
          <w:color w:val="17365D" w:themeColor="text2" w:themeShade="BF"/>
          <w:sz w:val="24"/>
          <w:szCs w:val="24"/>
        </w:rPr>
        <w:t>Addendum</w:t>
      </w:r>
      <w:r w:rsidRPr="00BC42FC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98001D">
        <w:rPr>
          <w:rFonts w:cstheme="minorHAnsi"/>
          <w:color w:val="17365D" w:themeColor="text2" w:themeShade="BF"/>
          <w:sz w:val="24"/>
          <w:szCs w:val="24"/>
        </w:rPr>
        <w:t>is</w:t>
      </w:r>
      <w:r w:rsidRPr="00BC42FC">
        <w:rPr>
          <w:rFonts w:cstheme="minorHAnsi"/>
          <w:color w:val="17365D" w:themeColor="text2" w:themeShade="BF"/>
          <w:sz w:val="24"/>
          <w:szCs w:val="24"/>
        </w:rPr>
        <w:t xml:space="preserve"> issued</w:t>
      </w:r>
      <w:r w:rsidR="00086477">
        <w:rPr>
          <w:rFonts w:cstheme="minorHAnsi"/>
          <w:color w:val="17365D" w:themeColor="text2" w:themeShade="BF"/>
          <w:sz w:val="24"/>
          <w:szCs w:val="24"/>
        </w:rPr>
        <w:t xml:space="preserve"> to </w:t>
      </w:r>
      <w:r w:rsidR="00593879">
        <w:rPr>
          <w:rFonts w:cstheme="minorHAnsi"/>
          <w:color w:val="17365D" w:themeColor="text2" w:themeShade="BF"/>
          <w:sz w:val="24"/>
          <w:szCs w:val="24"/>
        </w:rPr>
        <w:t>update the reimbursement packages for the Comprehensive Scree</w:t>
      </w:r>
      <w:r w:rsidR="00593879" w:rsidRPr="007074E9">
        <w:rPr>
          <w:rFonts w:cstheme="minorHAnsi"/>
          <w:color w:val="17365D"/>
          <w:sz w:val="24"/>
          <w:szCs w:val="24"/>
        </w:rPr>
        <w:t>ni</w:t>
      </w:r>
      <w:r w:rsidR="00593879">
        <w:rPr>
          <w:rFonts w:cstheme="minorHAnsi"/>
          <w:color w:val="17365D" w:themeColor="text2" w:themeShade="BF"/>
          <w:sz w:val="24"/>
          <w:szCs w:val="24"/>
        </w:rPr>
        <w:t xml:space="preserve">ng Program </w:t>
      </w:r>
      <w:r w:rsidR="00593879" w:rsidRPr="007074E9">
        <w:rPr>
          <w:rFonts w:cstheme="minorHAnsi"/>
          <w:color w:val="17365D"/>
          <w:sz w:val="24"/>
          <w:szCs w:val="24"/>
        </w:rPr>
        <w:t xml:space="preserve">and retire </w:t>
      </w:r>
      <w:r w:rsidR="000B74D1" w:rsidRPr="007074E9">
        <w:rPr>
          <w:rFonts w:cstheme="minorHAnsi"/>
          <w:color w:val="17365D"/>
          <w:sz w:val="24"/>
          <w:szCs w:val="24"/>
        </w:rPr>
        <w:t>all previous</w:t>
      </w:r>
      <w:r w:rsidR="00987D71">
        <w:rPr>
          <w:rFonts w:cstheme="minorHAnsi"/>
          <w:color w:val="17365D"/>
          <w:sz w:val="24"/>
          <w:szCs w:val="24"/>
        </w:rPr>
        <w:t xml:space="preserve"> </w:t>
      </w:r>
      <w:r w:rsidR="00593879" w:rsidRPr="007074E9">
        <w:rPr>
          <w:rFonts w:cstheme="minorHAnsi"/>
          <w:color w:val="17365D"/>
          <w:sz w:val="24"/>
          <w:szCs w:val="24"/>
        </w:rPr>
        <w:t>addendum</w:t>
      </w:r>
      <w:r w:rsidR="000B74D1" w:rsidRPr="007074E9">
        <w:rPr>
          <w:rFonts w:cstheme="minorHAnsi"/>
          <w:color w:val="17365D"/>
          <w:sz w:val="24"/>
          <w:szCs w:val="24"/>
        </w:rPr>
        <w:t>s</w:t>
      </w:r>
      <w:r w:rsidR="00987D71">
        <w:rPr>
          <w:rFonts w:cstheme="minorHAnsi"/>
          <w:color w:val="17365D"/>
          <w:sz w:val="24"/>
          <w:szCs w:val="24"/>
        </w:rPr>
        <w:t xml:space="preserve">. </w:t>
      </w:r>
    </w:p>
    <w:p w14:paraId="3FF4B611" w14:textId="77777777" w:rsidR="00CE2F35" w:rsidRPr="0036439A" w:rsidRDefault="00CE2F35" w:rsidP="00A8737A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29F9716F" w14:textId="77777777" w:rsidR="005C3721" w:rsidRPr="00991218" w:rsidRDefault="006B2530" w:rsidP="009155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>
        <w:rPr>
          <w:rFonts w:cstheme="minorHAnsi"/>
          <w:b/>
          <w:color w:val="17365D" w:themeColor="text2" w:themeShade="BF"/>
          <w:sz w:val="28"/>
          <w:szCs w:val="28"/>
        </w:rPr>
        <w:t>E</w:t>
      </w:r>
      <w:r w:rsidR="005C3721" w:rsidRPr="00991218">
        <w:rPr>
          <w:rFonts w:cstheme="minorHAnsi"/>
          <w:b/>
          <w:color w:val="17365D" w:themeColor="text2" w:themeShade="BF"/>
          <w:sz w:val="28"/>
          <w:szCs w:val="28"/>
        </w:rPr>
        <w:t xml:space="preserve">ffective Date: </w:t>
      </w:r>
    </w:p>
    <w:p w14:paraId="61817F32" w14:textId="77777777" w:rsidR="005C3721" w:rsidRDefault="005C3721" w:rsidP="005C3721">
      <w:pPr>
        <w:pStyle w:val="ListParagraph"/>
        <w:ind w:left="360"/>
        <w:rPr>
          <w:rFonts w:cs="Calibri"/>
          <w:sz w:val="14"/>
          <w:szCs w:val="14"/>
        </w:rPr>
      </w:pPr>
    </w:p>
    <w:p w14:paraId="3FF99321" w14:textId="77777777" w:rsidR="0040699E" w:rsidRPr="00660527" w:rsidRDefault="0040699E" w:rsidP="005C3721">
      <w:pPr>
        <w:pStyle w:val="ListParagraph"/>
        <w:ind w:left="360"/>
        <w:rPr>
          <w:rFonts w:cs="Calibri"/>
          <w:sz w:val="14"/>
          <w:szCs w:val="14"/>
        </w:rPr>
      </w:pPr>
    </w:p>
    <w:p w14:paraId="648E3D64" w14:textId="68D6C7BA" w:rsidR="00B42DA8" w:rsidRPr="008060D8" w:rsidRDefault="00E476B8" w:rsidP="009C58C3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/>
          <w:sz w:val="24"/>
          <w:szCs w:val="24"/>
        </w:rPr>
      </w:pPr>
      <w:r>
        <w:rPr>
          <w:rFonts w:cstheme="minorHAnsi"/>
          <w:color w:val="17365D"/>
          <w:sz w:val="24"/>
          <w:szCs w:val="24"/>
        </w:rPr>
        <w:t>30</w:t>
      </w:r>
      <w:r w:rsidR="004D11EC" w:rsidRPr="008060D8">
        <w:rPr>
          <w:rFonts w:cstheme="minorHAnsi"/>
          <w:color w:val="17365D"/>
          <w:sz w:val="24"/>
          <w:szCs w:val="24"/>
        </w:rPr>
        <w:t xml:space="preserve"> </w:t>
      </w:r>
      <w:r w:rsidR="00E45DE6">
        <w:rPr>
          <w:rFonts w:cstheme="minorHAnsi"/>
          <w:color w:val="17365D"/>
          <w:sz w:val="24"/>
          <w:szCs w:val="24"/>
        </w:rPr>
        <w:t>June</w:t>
      </w:r>
      <w:r w:rsidR="004D11EC" w:rsidRPr="008060D8">
        <w:rPr>
          <w:rFonts w:cstheme="minorHAnsi"/>
          <w:color w:val="17365D"/>
          <w:sz w:val="24"/>
          <w:szCs w:val="24"/>
        </w:rPr>
        <w:t xml:space="preserve"> 202</w:t>
      </w:r>
      <w:r w:rsidR="000B74D1">
        <w:rPr>
          <w:rFonts w:cstheme="minorHAnsi"/>
          <w:color w:val="17365D"/>
          <w:sz w:val="24"/>
          <w:szCs w:val="24"/>
        </w:rPr>
        <w:t>3</w:t>
      </w:r>
      <w:r w:rsidR="00082E31" w:rsidRPr="008060D8">
        <w:rPr>
          <w:rFonts w:cstheme="minorHAnsi"/>
          <w:color w:val="17365D"/>
          <w:sz w:val="24"/>
          <w:szCs w:val="24"/>
        </w:rPr>
        <w:t>.</w:t>
      </w:r>
      <w:r w:rsidR="00006113" w:rsidRPr="008060D8">
        <w:rPr>
          <w:rFonts w:cstheme="minorHAnsi"/>
          <w:color w:val="17365D"/>
          <w:sz w:val="24"/>
          <w:szCs w:val="24"/>
        </w:rPr>
        <w:t xml:space="preserve"> </w:t>
      </w:r>
    </w:p>
    <w:p w14:paraId="3FD60E74" w14:textId="77777777" w:rsidR="00082E31" w:rsidRPr="00660527" w:rsidRDefault="00082E31" w:rsidP="007D65F8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14"/>
          <w:szCs w:val="14"/>
        </w:rPr>
      </w:pPr>
    </w:p>
    <w:p w14:paraId="0A6E0656" w14:textId="27474C16" w:rsidR="0040699E" w:rsidRPr="000B74D1" w:rsidRDefault="006A1529" w:rsidP="000B74D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>
        <w:rPr>
          <w:rFonts w:cstheme="minorHAnsi"/>
          <w:b/>
          <w:color w:val="17365D" w:themeColor="text2" w:themeShade="BF"/>
          <w:sz w:val="28"/>
          <w:szCs w:val="28"/>
        </w:rPr>
        <w:t>Service Code</w:t>
      </w:r>
      <w:r w:rsidR="00B8591E">
        <w:rPr>
          <w:rFonts w:cstheme="minorHAnsi"/>
          <w:b/>
          <w:color w:val="17365D" w:themeColor="text2" w:themeShade="BF"/>
          <w:sz w:val="28"/>
          <w:szCs w:val="28"/>
        </w:rPr>
        <w:t>s</w:t>
      </w:r>
      <w:r w:rsidR="00656FFA">
        <w:rPr>
          <w:rFonts w:cstheme="minorHAnsi"/>
          <w:b/>
          <w:color w:val="17365D" w:themeColor="text2" w:themeShade="BF"/>
          <w:sz w:val="28"/>
          <w:szCs w:val="28"/>
        </w:rPr>
        <w:t xml:space="preserve">: </w:t>
      </w:r>
    </w:p>
    <w:tbl>
      <w:tblPr>
        <w:tblStyle w:val="LightGrid-Accent1"/>
        <w:tblW w:w="5664" w:type="pct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3162"/>
        <w:gridCol w:w="5497"/>
        <w:gridCol w:w="1281"/>
      </w:tblGrid>
      <w:tr w:rsidR="00C55661" w:rsidRPr="00042B09" w14:paraId="3AD144E2" w14:textId="77777777" w:rsidTr="003F1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shd w:val="clear" w:color="auto" w:fill="244061" w:themeFill="accent1" w:themeFillShade="80"/>
            <w:vAlign w:val="center"/>
            <w:hideMark/>
          </w:tcPr>
          <w:p w14:paraId="21714057" w14:textId="77777777" w:rsidR="00C55661" w:rsidRPr="00042B09" w:rsidRDefault="00C55661" w:rsidP="003F1E37">
            <w:pPr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bookmarkStart w:id="0" w:name="_Hlk104804044"/>
            <w:r w:rsidRPr="00042B09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Code</w:t>
            </w:r>
          </w:p>
        </w:tc>
        <w:tc>
          <w:tcPr>
            <w:tcW w:w="1424" w:type="pct"/>
            <w:shd w:val="clear" w:color="auto" w:fill="244061" w:themeFill="accent1" w:themeFillShade="80"/>
            <w:vAlign w:val="center"/>
            <w:hideMark/>
          </w:tcPr>
          <w:p w14:paraId="10BE14B0" w14:textId="77777777" w:rsidR="00C55661" w:rsidRPr="00042B09" w:rsidRDefault="00C55661" w:rsidP="003F1E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042B09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Short Code Description</w:t>
            </w:r>
          </w:p>
        </w:tc>
        <w:tc>
          <w:tcPr>
            <w:tcW w:w="2476" w:type="pct"/>
            <w:shd w:val="clear" w:color="auto" w:fill="244061" w:themeFill="accent1" w:themeFillShade="80"/>
            <w:vAlign w:val="center"/>
          </w:tcPr>
          <w:p w14:paraId="672C5790" w14:textId="77777777" w:rsidR="00C55661" w:rsidRPr="00042B09" w:rsidRDefault="00C55661" w:rsidP="003F1E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042B09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Long Code Description</w:t>
            </w:r>
          </w:p>
        </w:tc>
        <w:tc>
          <w:tcPr>
            <w:tcW w:w="577" w:type="pct"/>
            <w:shd w:val="clear" w:color="auto" w:fill="244061" w:themeFill="accent1" w:themeFillShade="80"/>
          </w:tcPr>
          <w:p w14:paraId="2B280EEC" w14:textId="77777777" w:rsidR="00C55661" w:rsidRPr="00042B09" w:rsidRDefault="00C55661" w:rsidP="003F1E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Price</w:t>
            </w:r>
          </w:p>
        </w:tc>
      </w:tr>
      <w:bookmarkEnd w:id="0"/>
      <w:tr w:rsidR="00C55661" w:rsidRPr="00042B09" w14:paraId="44AC68F3" w14:textId="77777777" w:rsidTr="003F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</w:tcPr>
          <w:p w14:paraId="094C6114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</w:pP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</w:t>
            </w: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21</w:t>
            </w:r>
          </w:p>
        </w:tc>
        <w:tc>
          <w:tcPr>
            <w:tcW w:w="1424" w:type="pct"/>
          </w:tcPr>
          <w:p w14:paraId="523500F9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B5294F">
              <w:rPr>
                <w:rFonts w:asciiTheme="minorHAnsi" w:hAnsiTheme="minorHAnsi" w:cstheme="minorHAnsi"/>
                <w:sz w:val="22"/>
                <w:szCs w:val="22"/>
              </w:rPr>
              <w:t>Comprehensive Screening Major Package for male &amp; female (age 18-39 years)</w:t>
            </w:r>
          </w:p>
        </w:tc>
        <w:tc>
          <w:tcPr>
            <w:tcW w:w="2476" w:type="pct"/>
          </w:tcPr>
          <w:p w14:paraId="56733FF3" w14:textId="77777777" w:rsidR="00C55661" w:rsidRPr="00B5294F" w:rsidRDefault="00C55661" w:rsidP="003F1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Comprehensive Screening Major Package for male &amp; female (age 18-39 years) for consultation &amp; Labs including the following services every 3 years:</w:t>
            </w:r>
            <w:r>
              <w:rPr>
                <w:rFonts w:ascii="Calibri" w:hAnsi="Calibri" w:cs="Calibri"/>
                <w:color w:val="000000"/>
              </w:rPr>
              <w:br/>
              <w:t>• 99201</w:t>
            </w:r>
            <w:r>
              <w:rPr>
                <w:rFonts w:ascii="Calibri" w:hAnsi="Calibri" w:cs="Calibri"/>
                <w:color w:val="000000"/>
              </w:rPr>
              <w:br/>
              <w:t>• 96127</w:t>
            </w:r>
            <w:r>
              <w:rPr>
                <w:rFonts w:ascii="Calibri" w:hAnsi="Calibri" w:cs="Calibri"/>
                <w:color w:val="000000"/>
              </w:rPr>
              <w:br/>
              <w:t>• 36415</w:t>
            </w:r>
            <w:r>
              <w:rPr>
                <w:rFonts w:ascii="Calibri" w:hAnsi="Calibri" w:cs="Calibri"/>
                <w:color w:val="000000"/>
              </w:rPr>
              <w:br/>
              <w:t>• 82947</w:t>
            </w:r>
            <w:r>
              <w:rPr>
                <w:rFonts w:ascii="Calibri" w:hAnsi="Calibri" w:cs="Calibri"/>
                <w:color w:val="000000"/>
              </w:rPr>
              <w:br/>
              <w:t>• 83036</w:t>
            </w:r>
            <w:r>
              <w:rPr>
                <w:rFonts w:ascii="Calibri" w:hAnsi="Calibri" w:cs="Calibri"/>
                <w:color w:val="000000"/>
              </w:rPr>
              <w:br/>
              <w:t>• 80061</w:t>
            </w:r>
            <w:r>
              <w:rPr>
                <w:rFonts w:ascii="Calibri" w:hAnsi="Calibri" w:cs="Calibri"/>
                <w:color w:val="000000"/>
              </w:rPr>
              <w:br/>
              <w:t>• 82565</w:t>
            </w:r>
          </w:p>
        </w:tc>
        <w:tc>
          <w:tcPr>
            <w:tcW w:w="577" w:type="pct"/>
          </w:tcPr>
          <w:p w14:paraId="1E6931E9" w14:textId="77777777" w:rsidR="00C55661" w:rsidRDefault="00C55661" w:rsidP="003F1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C55661" w:rsidRPr="00042B09" w14:paraId="0A22506C" w14:textId="77777777" w:rsidTr="003F1E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</w:tcPr>
          <w:p w14:paraId="2542F9B0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</w:t>
            </w: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22</w:t>
            </w:r>
          </w:p>
        </w:tc>
        <w:tc>
          <w:tcPr>
            <w:tcW w:w="1424" w:type="pct"/>
          </w:tcPr>
          <w:p w14:paraId="15718C63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294F">
              <w:rPr>
                <w:rFonts w:asciiTheme="minorHAnsi" w:hAnsiTheme="minorHAnsi" w:cstheme="minorHAnsi"/>
                <w:sz w:val="22"/>
                <w:szCs w:val="22"/>
              </w:rPr>
              <w:t>Comprehensive Screening Major Package for male &amp; female (age 40-64 years)</w:t>
            </w:r>
          </w:p>
        </w:tc>
        <w:tc>
          <w:tcPr>
            <w:tcW w:w="2476" w:type="pct"/>
          </w:tcPr>
          <w:p w14:paraId="40237553" w14:textId="77777777" w:rsidR="00C55661" w:rsidRPr="00B5294F" w:rsidRDefault="00C55661" w:rsidP="003F1E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Comprehensive Screening Major Package for male &amp; female (age 40-64 years) for consultation &amp; Labs including the following services every 3 years</w:t>
            </w:r>
            <w:r>
              <w:rPr>
                <w:rFonts w:ascii="Calibri" w:hAnsi="Calibri" w:cs="Calibri"/>
                <w:color w:val="000000"/>
              </w:rPr>
              <w:br/>
              <w:t>• 99201</w:t>
            </w:r>
            <w:r>
              <w:rPr>
                <w:rFonts w:ascii="Calibri" w:hAnsi="Calibri" w:cs="Calibri"/>
                <w:color w:val="000000"/>
              </w:rPr>
              <w:br/>
              <w:t>• 96127</w:t>
            </w:r>
            <w:r>
              <w:rPr>
                <w:rFonts w:ascii="Calibri" w:hAnsi="Calibri" w:cs="Calibri"/>
                <w:color w:val="000000"/>
              </w:rPr>
              <w:br/>
              <w:t>• 36415</w:t>
            </w:r>
            <w:r>
              <w:rPr>
                <w:rFonts w:ascii="Calibri" w:hAnsi="Calibri" w:cs="Calibri"/>
                <w:color w:val="000000"/>
              </w:rPr>
              <w:br/>
              <w:t>• 82947</w:t>
            </w:r>
            <w:r>
              <w:rPr>
                <w:rFonts w:ascii="Calibri" w:hAnsi="Calibri" w:cs="Calibri"/>
                <w:color w:val="000000"/>
              </w:rPr>
              <w:br/>
              <w:t>• 83036</w:t>
            </w:r>
            <w:r>
              <w:rPr>
                <w:rFonts w:ascii="Calibri" w:hAnsi="Calibri" w:cs="Calibri"/>
                <w:color w:val="000000"/>
              </w:rPr>
              <w:br/>
              <w:t>• 80061</w:t>
            </w:r>
            <w:r>
              <w:rPr>
                <w:rFonts w:ascii="Calibri" w:hAnsi="Calibri" w:cs="Calibri"/>
                <w:color w:val="000000"/>
              </w:rPr>
              <w:br/>
              <w:t>• 82565</w:t>
            </w:r>
          </w:p>
        </w:tc>
        <w:tc>
          <w:tcPr>
            <w:tcW w:w="577" w:type="pct"/>
          </w:tcPr>
          <w:p w14:paraId="2B58D64F" w14:textId="77777777" w:rsidR="00C55661" w:rsidRDefault="00C55661" w:rsidP="003F1E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C55661" w:rsidRPr="00042B09" w14:paraId="03A09261" w14:textId="77777777" w:rsidTr="003F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</w:tcPr>
          <w:p w14:paraId="6173E9CB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</w:t>
            </w: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23</w:t>
            </w:r>
          </w:p>
        </w:tc>
        <w:tc>
          <w:tcPr>
            <w:tcW w:w="1424" w:type="pct"/>
          </w:tcPr>
          <w:p w14:paraId="36DCF12E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294F">
              <w:rPr>
                <w:rFonts w:asciiTheme="minorHAnsi" w:hAnsiTheme="minorHAnsi" w:cstheme="minorHAnsi"/>
                <w:sz w:val="22"/>
                <w:szCs w:val="22"/>
              </w:rPr>
              <w:t>Comprehensive Screening Major Package for male &amp; female (age 65-75 years)</w:t>
            </w:r>
          </w:p>
        </w:tc>
        <w:tc>
          <w:tcPr>
            <w:tcW w:w="2476" w:type="pct"/>
          </w:tcPr>
          <w:p w14:paraId="551D42C8" w14:textId="77777777" w:rsidR="00C55661" w:rsidRPr="006401B9" w:rsidRDefault="00C55661" w:rsidP="003F1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Comprehensive Screening Major Package for male &amp; female (age 65-75 years) </w:t>
            </w:r>
            <w:r w:rsidRPr="00E04E3B">
              <w:rPr>
                <w:rFonts w:ascii="Calibri" w:hAnsi="Calibri" w:cs="Calibri"/>
                <w:color w:val="000000"/>
              </w:rPr>
              <w:t xml:space="preserve">for consultation &amp; Labs </w:t>
            </w:r>
            <w:r>
              <w:rPr>
                <w:rFonts w:ascii="Calibri" w:hAnsi="Calibri" w:cs="Calibri"/>
                <w:color w:val="000000"/>
              </w:rPr>
              <w:t>including the following services every 3 years:</w:t>
            </w:r>
            <w:r>
              <w:rPr>
                <w:rFonts w:ascii="Calibri" w:hAnsi="Calibri" w:cs="Calibri"/>
                <w:color w:val="000000"/>
              </w:rPr>
              <w:br/>
              <w:t>• 99201</w:t>
            </w:r>
            <w:r>
              <w:rPr>
                <w:rFonts w:ascii="Calibri" w:hAnsi="Calibri" w:cs="Calibri"/>
                <w:color w:val="000000"/>
              </w:rPr>
              <w:br/>
              <w:t>• 96127</w:t>
            </w:r>
            <w:r>
              <w:rPr>
                <w:rFonts w:ascii="Calibri" w:hAnsi="Calibri" w:cs="Calibri"/>
                <w:color w:val="000000"/>
              </w:rPr>
              <w:br/>
              <w:t>• 36415</w:t>
            </w:r>
            <w:r>
              <w:rPr>
                <w:rFonts w:ascii="Calibri" w:hAnsi="Calibri" w:cs="Calibri"/>
                <w:color w:val="000000"/>
              </w:rPr>
              <w:br/>
              <w:t>• 82947</w:t>
            </w:r>
            <w:r>
              <w:rPr>
                <w:rFonts w:ascii="Calibri" w:hAnsi="Calibri" w:cs="Calibri"/>
                <w:color w:val="000000"/>
              </w:rPr>
              <w:br/>
              <w:t>• 83036</w:t>
            </w:r>
            <w:r>
              <w:rPr>
                <w:rFonts w:ascii="Calibri" w:hAnsi="Calibri" w:cs="Calibri"/>
                <w:color w:val="000000"/>
              </w:rPr>
              <w:br/>
              <w:t>• 80061</w:t>
            </w:r>
            <w:r>
              <w:rPr>
                <w:rFonts w:ascii="Calibri" w:hAnsi="Calibri" w:cs="Calibri"/>
                <w:color w:val="000000"/>
              </w:rPr>
              <w:br/>
              <w:t>• 82565</w:t>
            </w:r>
          </w:p>
        </w:tc>
        <w:tc>
          <w:tcPr>
            <w:tcW w:w="577" w:type="pct"/>
          </w:tcPr>
          <w:p w14:paraId="5E97E106" w14:textId="77777777" w:rsidR="00C55661" w:rsidRDefault="00C55661" w:rsidP="003F1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C55661" w:rsidRPr="00042B09" w14:paraId="6CFDDAF7" w14:textId="77777777" w:rsidTr="003F1E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</w:tcPr>
          <w:p w14:paraId="421C35A1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lastRenderedPageBreak/>
              <w:t>5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</w:t>
            </w: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24</w:t>
            </w:r>
          </w:p>
        </w:tc>
        <w:tc>
          <w:tcPr>
            <w:tcW w:w="1424" w:type="pct"/>
          </w:tcPr>
          <w:p w14:paraId="4F4249A3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294F">
              <w:rPr>
                <w:rFonts w:asciiTheme="minorHAnsi" w:hAnsiTheme="minorHAnsi" w:cstheme="minorHAnsi"/>
                <w:sz w:val="22"/>
                <w:szCs w:val="22"/>
              </w:rPr>
              <w:t>Comprehensive Screening Minor Package for male &amp; female (age 65-75 years)</w:t>
            </w:r>
          </w:p>
        </w:tc>
        <w:tc>
          <w:tcPr>
            <w:tcW w:w="2476" w:type="pct"/>
          </w:tcPr>
          <w:p w14:paraId="3D0FDE7D" w14:textId="77777777" w:rsidR="00C55661" w:rsidRPr="006401B9" w:rsidRDefault="00C55661" w:rsidP="003F1E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Comprehensive Screening Minor Package for male &amp; female (age 65-75 years) for vision &amp; hearing including the following services annually:</w:t>
            </w:r>
            <w:r>
              <w:rPr>
                <w:rFonts w:ascii="Calibri" w:hAnsi="Calibri" w:cs="Calibri"/>
                <w:color w:val="000000"/>
              </w:rPr>
              <w:br/>
              <w:t>• 92551</w:t>
            </w:r>
            <w:r>
              <w:rPr>
                <w:rFonts w:ascii="Calibri" w:hAnsi="Calibri" w:cs="Calibri"/>
                <w:color w:val="000000"/>
              </w:rPr>
              <w:br/>
              <w:t>• 99173</w:t>
            </w:r>
          </w:p>
        </w:tc>
        <w:tc>
          <w:tcPr>
            <w:tcW w:w="577" w:type="pct"/>
          </w:tcPr>
          <w:p w14:paraId="24D726F2" w14:textId="77777777" w:rsidR="00C55661" w:rsidRDefault="00C55661" w:rsidP="003F1E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C55661" w:rsidRPr="00042B09" w14:paraId="28DD080C" w14:textId="77777777" w:rsidTr="003F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</w:tcPr>
          <w:p w14:paraId="61C639C1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</w:t>
            </w: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25</w:t>
            </w:r>
          </w:p>
        </w:tc>
        <w:tc>
          <w:tcPr>
            <w:tcW w:w="1424" w:type="pct"/>
          </w:tcPr>
          <w:p w14:paraId="0CA27D0E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294F">
              <w:rPr>
                <w:rFonts w:asciiTheme="minorHAnsi" w:hAnsiTheme="minorHAnsi" w:cstheme="minorHAnsi"/>
                <w:sz w:val="22"/>
                <w:szCs w:val="22"/>
              </w:rPr>
              <w:t>Comprehensive Screening Oral Health Package for male &amp; female (age 18-75 years)</w:t>
            </w:r>
          </w:p>
        </w:tc>
        <w:tc>
          <w:tcPr>
            <w:tcW w:w="2476" w:type="pct"/>
          </w:tcPr>
          <w:p w14:paraId="50A430B1" w14:textId="77777777" w:rsidR="00C55661" w:rsidRPr="006401B9" w:rsidRDefault="00C55661" w:rsidP="003F1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Comprehensive Screening Oral Health Package for male &amp; female (age 18-75 years) for oral examination &amp; oral hygiene including the following services annually:</w:t>
            </w:r>
            <w:r>
              <w:rPr>
                <w:rFonts w:ascii="Calibri" w:hAnsi="Calibri" w:cs="Calibri"/>
                <w:color w:val="000000"/>
              </w:rPr>
              <w:br/>
              <w:t>• 01103</w:t>
            </w:r>
            <w:r>
              <w:rPr>
                <w:rFonts w:ascii="Calibri" w:hAnsi="Calibri" w:cs="Calibri"/>
                <w:color w:val="000000"/>
              </w:rPr>
              <w:br/>
              <w:t>• 13211</w:t>
            </w:r>
          </w:p>
        </w:tc>
        <w:tc>
          <w:tcPr>
            <w:tcW w:w="577" w:type="pct"/>
          </w:tcPr>
          <w:p w14:paraId="45ECCF64" w14:textId="77777777" w:rsidR="00C55661" w:rsidRDefault="00C55661" w:rsidP="003F1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C55661" w:rsidRPr="00042B09" w14:paraId="6CF51A37" w14:textId="77777777" w:rsidTr="003F1E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</w:tcPr>
          <w:p w14:paraId="428A6A3C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</w:t>
            </w: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26</w:t>
            </w:r>
          </w:p>
        </w:tc>
        <w:tc>
          <w:tcPr>
            <w:tcW w:w="1424" w:type="pct"/>
          </w:tcPr>
          <w:p w14:paraId="531A4A46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294F">
              <w:rPr>
                <w:rFonts w:asciiTheme="minorHAnsi" w:hAnsiTheme="minorHAnsi" w:cstheme="minorHAnsi"/>
                <w:sz w:val="22"/>
                <w:szCs w:val="22"/>
              </w:rPr>
              <w:t>Colon Cancer Screening male &amp; female (age 40-75 years)</w:t>
            </w:r>
          </w:p>
        </w:tc>
        <w:tc>
          <w:tcPr>
            <w:tcW w:w="2476" w:type="pct"/>
          </w:tcPr>
          <w:p w14:paraId="32A04E66" w14:textId="77777777" w:rsidR="00C55661" w:rsidRPr="00B5294F" w:rsidRDefault="00C55661" w:rsidP="003F1E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Colon Cancer Screening Package for male and female (age 40-75 Years) including the following services every 10 years:</w:t>
            </w:r>
            <w:r>
              <w:rPr>
                <w:rFonts w:ascii="Calibri" w:hAnsi="Calibri" w:cs="Calibri"/>
                <w:color w:val="000000"/>
              </w:rPr>
              <w:br/>
              <w:t>• 99201</w:t>
            </w:r>
            <w:r>
              <w:rPr>
                <w:rFonts w:ascii="Calibri" w:hAnsi="Calibri" w:cs="Calibri"/>
                <w:color w:val="000000"/>
              </w:rPr>
              <w:br/>
              <w:t>• G0105</w:t>
            </w:r>
          </w:p>
        </w:tc>
        <w:tc>
          <w:tcPr>
            <w:tcW w:w="577" w:type="pct"/>
          </w:tcPr>
          <w:p w14:paraId="4AEC7945" w14:textId="77777777" w:rsidR="00C55661" w:rsidRDefault="00C55661" w:rsidP="003F1E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868</w:t>
            </w:r>
          </w:p>
        </w:tc>
      </w:tr>
      <w:tr w:rsidR="00C55661" w:rsidRPr="00042B09" w14:paraId="58240787" w14:textId="77777777" w:rsidTr="003F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</w:tcPr>
          <w:p w14:paraId="11FB9B22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</w:t>
            </w: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27</w:t>
            </w:r>
          </w:p>
        </w:tc>
        <w:tc>
          <w:tcPr>
            <w:tcW w:w="1424" w:type="pct"/>
          </w:tcPr>
          <w:p w14:paraId="7C7B113C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294F">
              <w:rPr>
                <w:rFonts w:asciiTheme="minorHAnsi" w:hAnsiTheme="minorHAnsi" w:cstheme="minorHAnsi"/>
                <w:sz w:val="22"/>
                <w:szCs w:val="22"/>
              </w:rPr>
              <w:t>Cervical Cancer Screening for female (age 25-29 years)</w:t>
            </w:r>
          </w:p>
        </w:tc>
        <w:tc>
          <w:tcPr>
            <w:tcW w:w="2476" w:type="pct"/>
          </w:tcPr>
          <w:p w14:paraId="1851193E" w14:textId="77777777" w:rsidR="00C55661" w:rsidRPr="00B5294F" w:rsidRDefault="00C55661" w:rsidP="003F1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Cervical Cancer Screening Package for female (25-29 Years) including the following services every 3 years: </w:t>
            </w:r>
            <w:r>
              <w:rPr>
                <w:rFonts w:ascii="Calibri" w:hAnsi="Calibri" w:cs="Calibri"/>
                <w:color w:val="000000"/>
              </w:rPr>
              <w:br/>
              <w:t>• 99201</w:t>
            </w:r>
            <w:r>
              <w:rPr>
                <w:rFonts w:ascii="Calibri" w:hAnsi="Calibri" w:cs="Calibri"/>
                <w:color w:val="000000"/>
              </w:rPr>
              <w:br/>
              <w:t>• 88142</w:t>
            </w:r>
          </w:p>
        </w:tc>
        <w:tc>
          <w:tcPr>
            <w:tcW w:w="577" w:type="pct"/>
          </w:tcPr>
          <w:p w14:paraId="7A422F78" w14:textId="77777777" w:rsidR="00C55661" w:rsidRDefault="00C55661" w:rsidP="003F1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C55661" w:rsidRPr="00042B09" w14:paraId="47E2917A" w14:textId="77777777" w:rsidTr="003F1E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</w:tcPr>
          <w:p w14:paraId="7941A679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</w:t>
            </w: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28</w:t>
            </w:r>
          </w:p>
        </w:tc>
        <w:tc>
          <w:tcPr>
            <w:tcW w:w="1424" w:type="pct"/>
          </w:tcPr>
          <w:p w14:paraId="669C6764" w14:textId="77777777" w:rsidR="00C55661" w:rsidRDefault="00C55661" w:rsidP="003F1E37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94F">
              <w:rPr>
                <w:rFonts w:asciiTheme="minorHAnsi" w:hAnsiTheme="minorHAnsi" w:cstheme="minorHAnsi"/>
                <w:sz w:val="22"/>
                <w:szCs w:val="22"/>
              </w:rPr>
              <w:t>Cervical Cancer Screening for female (age 30-</w:t>
            </w:r>
            <w:r w:rsidRPr="0039613F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 w:rsidRPr="00B5294F">
              <w:rPr>
                <w:rFonts w:asciiTheme="minorHAnsi" w:hAnsiTheme="minorHAnsi" w:cstheme="minorHAnsi"/>
                <w:sz w:val="22"/>
                <w:szCs w:val="22"/>
              </w:rPr>
              <w:t xml:space="preserve"> years)</w:t>
            </w:r>
          </w:p>
          <w:p w14:paraId="193755DA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9613F">
              <w:rPr>
                <w:rFonts w:asciiTheme="minorHAnsi" w:hAnsiTheme="minorHAnsi" w:cstheme="minorHAnsi"/>
                <w:sz w:val="22"/>
                <w:szCs w:val="22"/>
              </w:rPr>
              <w:t>for eligible groups based on PCSP standard</w:t>
            </w:r>
          </w:p>
        </w:tc>
        <w:tc>
          <w:tcPr>
            <w:tcW w:w="2476" w:type="pct"/>
          </w:tcPr>
          <w:p w14:paraId="7AE53C99" w14:textId="77777777" w:rsidR="00C55661" w:rsidRPr="00B5294F" w:rsidRDefault="00C55661" w:rsidP="003F1E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Cervical Cancer Screening Package for female (30-</w:t>
            </w:r>
            <w:r w:rsidRPr="00AE6CE2">
              <w:rPr>
                <w:rFonts w:ascii="Calibri" w:hAnsi="Calibri" w:cs="Calibri"/>
                <w:color w:val="000000" w:themeColor="text1"/>
              </w:rPr>
              <w:t>65</w:t>
            </w:r>
            <w:r>
              <w:rPr>
                <w:rFonts w:ascii="Calibri" w:hAnsi="Calibri" w:cs="Calibri"/>
                <w:color w:val="000000"/>
              </w:rPr>
              <w:t xml:space="preserve"> Years) including the following services every 5 years: </w:t>
            </w:r>
            <w:r>
              <w:rPr>
                <w:rFonts w:ascii="Calibri" w:hAnsi="Calibri" w:cs="Calibri"/>
                <w:color w:val="000000"/>
              </w:rPr>
              <w:br/>
              <w:t>• 99201</w:t>
            </w:r>
            <w:r>
              <w:rPr>
                <w:rFonts w:ascii="Calibri" w:hAnsi="Calibri" w:cs="Calibri"/>
                <w:color w:val="000000"/>
              </w:rPr>
              <w:br/>
              <w:t>• 88142</w:t>
            </w:r>
            <w:r>
              <w:rPr>
                <w:rFonts w:ascii="Calibri" w:hAnsi="Calibri" w:cs="Calibri"/>
                <w:color w:val="000000"/>
              </w:rPr>
              <w:br/>
              <w:t>• 87623 or 87624 or 87625</w:t>
            </w:r>
          </w:p>
        </w:tc>
        <w:tc>
          <w:tcPr>
            <w:tcW w:w="577" w:type="pct"/>
          </w:tcPr>
          <w:p w14:paraId="4752A075" w14:textId="77777777" w:rsidR="00C55661" w:rsidRDefault="00C55661" w:rsidP="003F1E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</w:tr>
      <w:tr w:rsidR="00C55661" w:rsidRPr="00042B09" w14:paraId="524DCB51" w14:textId="77777777" w:rsidTr="003F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</w:tcPr>
          <w:p w14:paraId="59F3E184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294F">
              <w:rPr>
                <w:rFonts w:asciiTheme="minorHAnsi" w:eastAsiaTheme="minorEastAsia" w:hAnsi="Calibri" w:cstheme="minorBidi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5</w:t>
            </w:r>
            <w:r>
              <w:rPr>
                <w:rFonts w:asciiTheme="minorHAnsi" w:eastAsiaTheme="minorEastAsia" w:hAnsi="Calibri" w:cstheme="minorBidi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</w:t>
            </w:r>
            <w:r w:rsidRPr="00B5294F">
              <w:rPr>
                <w:rFonts w:asciiTheme="minorHAnsi" w:eastAsiaTheme="minorEastAsia" w:hAnsi="Calibri" w:cstheme="minorBidi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-</w:t>
            </w:r>
            <w:r>
              <w:rPr>
                <w:rFonts w:asciiTheme="minorHAnsi" w:eastAsiaTheme="minorEastAsia" w:hAnsi="Calibri" w:cstheme="minorBidi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29</w:t>
            </w:r>
          </w:p>
        </w:tc>
        <w:tc>
          <w:tcPr>
            <w:tcW w:w="1424" w:type="pct"/>
          </w:tcPr>
          <w:p w14:paraId="7C1F69E1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294F">
              <w:rPr>
                <w:rFonts w:asciiTheme="minorHAnsi" w:hAnsiTheme="minorHAnsi" w:cstheme="minorHAnsi"/>
                <w:sz w:val="22"/>
                <w:szCs w:val="22"/>
              </w:rPr>
              <w:t>Lung Cancer Screening for (High Risk) male &amp; female (age 55-75 years)</w:t>
            </w:r>
          </w:p>
        </w:tc>
        <w:tc>
          <w:tcPr>
            <w:tcW w:w="2476" w:type="pct"/>
          </w:tcPr>
          <w:p w14:paraId="5C2DD047" w14:textId="77777777" w:rsidR="00C55661" w:rsidRPr="00B5294F" w:rsidRDefault="00C55661" w:rsidP="003F1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Lung Cancer Screening Package for male &amp; female (age 55-75 Years) for (high risk only, heavy smokers) including the following services annually: </w:t>
            </w:r>
            <w:r>
              <w:rPr>
                <w:rFonts w:ascii="Calibri" w:hAnsi="Calibri" w:cs="Calibri"/>
                <w:color w:val="000000"/>
              </w:rPr>
              <w:br/>
              <w:t>• 99201</w:t>
            </w:r>
            <w:r>
              <w:rPr>
                <w:rFonts w:ascii="Calibri" w:hAnsi="Calibri" w:cs="Calibri"/>
                <w:color w:val="000000"/>
              </w:rPr>
              <w:br/>
              <w:t>• 71250</w:t>
            </w:r>
          </w:p>
        </w:tc>
        <w:tc>
          <w:tcPr>
            <w:tcW w:w="577" w:type="pct"/>
          </w:tcPr>
          <w:p w14:paraId="649C113A" w14:textId="77777777" w:rsidR="00C55661" w:rsidRDefault="00C55661" w:rsidP="003F1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</w:tr>
      <w:tr w:rsidR="00C55661" w:rsidRPr="00C0259B" w14:paraId="18E2C182" w14:textId="77777777" w:rsidTr="003F1E37">
        <w:tblPrEx>
          <w:jc w:val="left"/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</w:tcPr>
          <w:p w14:paraId="0D7DB5D3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</w:pP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</w:t>
            </w: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30</w:t>
            </w:r>
          </w:p>
        </w:tc>
        <w:tc>
          <w:tcPr>
            <w:tcW w:w="1424" w:type="pct"/>
          </w:tcPr>
          <w:p w14:paraId="2AB51980" w14:textId="77777777" w:rsidR="00C55661" w:rsidRPr="0039613F" w:rsidRDefault="00C55661" w:rsidP="003F1E37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94F">
              <w:rPr>
                <w:rFonts w:asciiTheme="minorHAnsi" w:hAnsiTheme="minorHAnsi" w:cstheme="minorHAnsi"/>
                <w:sz w:val="22"/>
                <w:szCs w:val="22"/>
              </w:rPr>
              <w:t xml:space="preserve">Standalone Screening Mammography for female </w:t>
            </w:r>
            <w:r w:rsidRPr="0039613F">
              <w:rPr>
                <w:rFonts w:asciiTheme="minorHAnsi" w:hAnsiTheme="minorHAnsi" w:cstheme="minorHAnsi"/>
                <w:sz w:val="22"/>
                <w:szCs w:val="22"/>
              </w:rPr>
              <w:t>for eligible groups based on PCSP standard</w:t>
            </w:r>
          </w:p>
        </w:tc>
        <w:tc>
          <w:tcPr>
            <w:tcW w:w="2476" w:type="pct"/>
          </w:tcPr>
          <w:p w14:paraId="009FFFAC" w14:textId="77777777" w:rsidR="00C55661" w:rsidRPr="0039613F" w:rsidRDefault="00C55661" w:rsidP="003F1E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39613F">
              <w:rPr>
                <w:rFonts w:eastAsia="Times New Roman" w:cstheme="minorHAnsi"/>
              </w:rPr>
              <w:t>Standalone Screening Mammography for female every 2 years (77067) for eligible groups based on PCSP standard</w:t>
            </w:r>
          </w:p>
          <w:p w14:paraId="1520177E" w14:textId="77777777" w:rsidR="00C55661" w:rsidRPr="0039613F" w:rsidRDefault="00C55661" w:rsidP="003F1E37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pct"/>
          </w:tcPr>
          <w:p w14:paraId="0B32047C" w14:textId="77777777" w:rsidR="00C55661" w:rsidRPr="0039613F" w:rsidRDefault="00C55661" w:rsidP="003F1E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293</w:t>
            </w:r>
          </w:p>
        </w:tc>
      </w:tr>
      <w:tr w:rsidR="00C55661" w:rsidRPr="0081522A" w14:paraId="2A381165" w14:textId="77777777" w:rsidTr="003F1E37">
        <w:tblPrEx>
          <w:jc w:val="left"/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</w:tcPr>
          <w:p w14:paraId="4E2659C0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</w:pP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</w:t>
            </w: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31</w:t>
            </w:r>
          </w:p>
        </w:tc>
        <w:tc>
          <w:tcPr>
            <w:tcW w:w="1424" w:type="pct"/>
          </w:tcPr>
          <w:p w14:paraId="304E01D1" w14:textId="77777777" w:rsidR="00C55661" w:rsidRPr="0039613F" w:rsidRDefault="00C55661" w:rsidP="003F1E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94F">
              <w:rPr>
                <w:rFonts w:asciiTheme="minorHAnsi" w:hAnsiTheme="minorHAnsi" w:cstheme="minorHAnsi"/>
                <w:sz w:val="22"/>
                <w:szCs w:val="22"/>
              </w:rPr>
              <w:t xml:space="preserve">Standalone Screening Fecal immunochemical test (FIT) </w:t>
            </w:r>
            <w:r w:rsidRPr="0039613F">
              <w:rPr>
                <w:rFonts w:asciiTheme="minorHAnsi" w:hAnsiTheme="minorHAnsi" w:cstheme="minorHAnsi"/>
                <w:sz w:val="22"/>
                <w:szCs w:val="22"/>
              </w:rPr>
              <w:t>for eligible groups based on PCSP standard</w:t>
            </w:r>
          </w:p>
        </w:tc>
        <w:tc>
          <w:tcPr>
            <w:tcW w:w="2476" w:type="pct"/>
          </w:tcPr>
          <w:p w14:paraId="3BA86FAA" w14:textId="77777777" w:rsidR="00C55661" w:rsidRPr="0039613F" w:rsidRDefault="00C55661" w:rsidP="003F1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39613F">
              <w:rPr>
                <w:rFonts w:eastAsia="Times New Roman" w:cstheme="minorHAnsi"/>
              </w:rPr>
              <w:t>Standalone Screening Fecal immunochemical test (FIT) annually (82274) for eligible groups based on PCSP standard</w:t>
            </w:r>
          </w:p>
        </w:tc>
        <w:tc>
          <w:tcPr>
            <w:tcW w:w="577" w:type="pct"/>
          </w:tcPr>
          <w:p w14:paraId="47D0A433" w14:textId="77777777" w:rsidR="00C55661" w:rsidRPr="0039613F" w:rsidRDefault="00C55661" w:rsidP="003F1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57</w:t>
            </w:r>
          </w:p>
        </w:tc>
      </w:tr>
      <w:tr w:rsidR="00C55661" w:rsidRPr="0081522A" w14:paraId="4D74983E" w14:textId="77777777" w:rsidTr="003F1E37">
        <w:tblPrEx>
          <w:jc w:val="left"/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</w:tcPr>
          <w:p w14:paraId="44001380" w14:textId="77777777" w:rsidR="00C55661" w:rsidRPr="00B5294F" w:rsidRDefault="00C55661" w:rsidP="003F1E3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text1"/>
                <w:kern w:val="24"/>
                <w:sz w:val="22"/>
                <w:szCs w:val="22"/>
              </w:rPr>
            </w:pP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2</w:t>
            </w:r>
            <w:r w:rsidRPr="00B5294F"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bCs w:val="0"/>
                <w:color w:val="000000" w:themeColor="text1"/>
                <w:kern w:val="24"/>
                <w:sz w:val="22"/>
                <w:szCs w:val="22"/>
              </w:rPr>
              <w:t>32</w:t>
            </w:r>
          </w:p>
        </w:tc>
        <w:tc>
          <w:tcPr>
            <w:tcW w:w="1424" w:type="pct"/>
          </w:tcPr>
          <w:p w14:paraId="51F8FE19" w14:textId="77777777" w:rsidR="00C55661" w:rsidRPr="0039613F" w:rsidRDefault="00C55661" w:rsidP="003F1E37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94F">
              <w:rPr>
                <w:rFonts w:asciiTheme="minorHAnsi" w:hAnsiTheme="minorHAnsi" w:cstheme="minorHAnsi"/>
                <w:sz w:val="22"/>
                <w:szCs w:val="22"/>
              </w:rPr>
              <w:t xml:space="preserve">Standalone Screening Abdominal Aortic Aneurysm </w:t>
            </w:r>
            <w:r w:rsidRPr="0039613F">
              <w:rPr>
                <w:rFonts w:asciiTheme="minorHAnsi" w:hAnsiTheme="minorHAnsi" w:cstheme="minorHAnsi"/>
                <w:sz w:val="22"/>
                <w:szCs w:val="22"/>
              </w:rPr>
              <w:t>for eligible groups based on PCSP standard</w:t>
            </w:r>
            <w:r w:rsidRPr="00B5294F" w:rsidDel="00916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76" w:type="pct"/>
          </w:tcPr>
          <w:p w14:paraId="5838F4CD" w14:textId="77777777" w:rsidR="00C55661" w:rsidRPr="0039613F" w:rsidRDefault="00C55661" w:rsidP="003F1E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39613F">
              <w:rPr>
                <w:rFonts w:eastAsia="Times New Roman" w:cstheme="minorHAnsi"/>
              </w:rPr>
              <w:t>Standalone Screening Abdominal Aortic Aneurysm once in a lifetime (76706) for eligible groups based on PCSP standard</w:t>
            </w:r>
          </w:p>
        </w:tc>
        <w:tc>
          <w:tcPr>
            <w:tcW w:w="577" w:type="pct"/>
          </w:tcPr>
          <w:p w14:paraId="1C142FA5" w14:textId="77777777" w:rsidR="00C55661" w:rsidRPr="0039613F" w:rsidRDefault="00C55661" w:rsidP="003F1E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202</w:t>
            </w:r>
          </w:p>
        </w:tc>
      </w:tr>
      <w:tr w:rsidR="00C55661" w:rsidRPr="0081522A" w14:paraId="03468851" w14:textId="77777777" w:rsidTr="003F1E37">
        <w:tblPrEx>
          <w:jc w:val="left"/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</w:tcPr>
          <w:p w14:paraId="0D01716C" w14:textId="77777777" w:rsidR="00C55661" w:rsidRPr="0039613F" w:rsidRDefault="00C55661" w:rsidP="003F1E3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9613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52-33</w:t>
            </w:r>
          </w:p>
        </w:tc>
        <w:tc>
          <w:tcPr>
            <w:tcW w:w="1424" w:type="pct"/>
          </w:tcPr>
          <w:p w14:paraId="0B68E91F" w14:textId="77777777" w:rsidR="00C55661" w:rsidRPr="0039613F" w:rsidRDefault="00C55661" w:rsidP="003F1E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613F">
              <w:rPr>
                <w:rFonts w:asciiTheme="minorHAnsi" w:hAnsiTheme="minorHAnsi" w:cstheme="minorHAnsi"/>
                <w:sz w:val="22"/>
                <w:szCs w:val="22"/>
              </w:rPr>
              <w:t xml:space="preserve">Standalone Screening DEXA scan for eligible groups based on PCSP standard </w:t>
            </w:r>
          </w:p>
        </w:tc>
        <w:tc>
          <w:tcPr>
            <w:tcW w:w="2476" w:type="pct"/>
          </w:tcPr>
          <w:p w14:paraId="52C3F62B" w14:textId="77777777" w:rsidR="00C55661" w:rsidRPr="0039613F" w:rsidRDefault="00C55661" w:rsidP="003F1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39613F">
              <w:rPr>
                <w:rFonts w:eastAsia="Times New Roman" w:cstheme="minorHAnsi"/>
              </w:rPr>
              <w:t xml:space="preserve">Standalone Screening DEXA scan every 3 years (77080) for eligible groups based on PCSP standard </w:t>
            </w:r>
          </w:p>
        </w:tc>
        <w:tc>
          <w:tcPr>
            <w:tcW w:w="577" w:type="pct"/>
          </w:tcPr>
          <w:p w14:paraId="42C7BA65" w14:textId="77777777" w:rsidR="00C55661" w:rsidRPr="0039613F" w:rsidRDefault="00C55661" w:rsidP="003F1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133</w:t>
            </w:r>
          </w:p>
        </w:tc>
      </w:tr>
    </w:tbl>
    <w:p w14:paraId="4ED47C13" w14:textId="77777777" w:rsidR="00572052" w:rsidRDefault="00572052" w:rsidP="00062776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bookmarkStart w:id="1" w:name="_GoBack"/>
      <w:bookmarkEnd w:id="1"/>
    </w:p>
    <w:p w14:paraId="48A8D0CD" w14:textId="77777777" w:rsidR="008A798A" w:rsidRDefault="008A798A" w:rsidP="00062776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0F5F2889" w14:textId="77777777" w:rsidR="008E18D6" w:rsidRDefault="008E18D6" w:rsidP="009155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991218">
        <w:rPr>
          <w:rFonts w:cstheme="minorHAnsi"/>
          <w:b/>
          <w:color w:val="17365D" w:themeColor="text2" w:themeShade="BF"/>
          <w:sz w:val="28"/>
          <w:szCs w:val="28"/>
        </w:rPr>
        <w:t>Claims and Adjudication Rules</w:t>
      </w:r>
    </w:p>
    <w:p w14:paraId="50A2BE00" w14:textId="77777777" w:rsidR="008E18D6" w:rsidRPr="001F27B3" w:rsidRDefault="008E18D6" w:rsidP="008E18D6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1F27B3">
        <w:rPr>
          <w:sz w:val="24"/>
          <w:szCs w:val="24"/>
        </w:rPr>
        <w:t xml:space="preserve"> </w:t>
      </w:r>
    </w:p>
    <w:p w14:paraId="11292A4E" w14:textId="7AD795EE" w:rsidR="00B90BB0" w:rsidRDefault="00FB5839" w:rsidP="007074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024A08">
        <w:rPr>
          <w:rFonts w:cstheme="minorHAnsi"/>
          <w:color w:val="17365D" w:themeColor="text2" w:themeShade="BF"/>
          <w:sz w:val="24"/>
          <w:szCs w:val="24"/>
        </w:rPr>
        <w:t>The screening program codes 5</w:t>
      </w:r>
      <w:r w:rsidR="000443D4">
        <w:rPr>
          <w:rFonts w:cstheme="minorHAnsi"/>
          <w:color w:val="17365D" w:themeColor="text2" w:themeShade="BF"/>
          <w:sz w:val="24"/>
          <w:szCs w:val="24"/>
        </w:rPr>
        <w:t>2</w:t>
      </w:r>
      <w:r w:rsidRPr="00024A08">
        <w:rPr>
          <w:rFonts w:cstheme="minorHAnsi"/>
          <w:color w:val="17365D" w:themeColor="text2" w:themeShade="BF"/>
          <w:sz w:val="24"/>
          <w:szCs w:val="24"/>
        </w:rPr>
        <w:t>-</w:t>
      </w:r>
      <w:r w:rsidR="000443D4">
        <w:rPr>
          <w:rFonts w:cstheme="minorHAnsi"/>
          <w:color w:val="17365D" w:themeColor="text2" w:themeShade="BF"/>
          <w:sz w:val="24"/>
          <w:szCs w:val="24"/>
        </w:rPr>
        <w:t>21</w:t>
      </w:r>
      <w:r w:rsidRPr="00024A08">
        <w:rPr>
          <w:rFonts w:cstheme="minorHAnsi"/>
          <w:color w:val="17365D" w:themeColor="text2" w:themeShade="BF"/>
          <w:sz w:val="24"/>
          <w:szCs w:val="24"/>
        </w:rPr>
        <w:t xml:space="preserve"> to 5</w:t>
      </w:r>
      <w:r w:rsidR="000443D4">
        <w:rPr>
          <w:rFonts w:cstheme="minorHAnsi"/>
          <w:color w:val="17365D" w:themeColor="text2" w:themeShade="BF"/>
          <w:sz w:val="24"/>
          <w:szCs w:val="24"/>
        </w:rPr>
        <w:t>2</w:t>
      </w:r>
      <w:r w:rsidRPr="00024A08">
        <w:rPr>
          <w:rFonts w:cstheme="minorHAnsi"/>
          <w:color w:val="17365D" w:themeColor="text2" w:themeShade="BF"/>
          <w:sz w:val="24"/>
          <w:szCs w:val="24"/>
        </w:rPr>
        <w:t>-</w:t>
      </w:r>
      <w:r w:rsidR="000443D4">
        <w:rPr>
          <w:rFonts w:cstheme="minorHAnsi"/>
          <w:color w:val="17365D" w:themeColor="text2" w:themeShade="BF"/>
          <w:sz w:val="24"/>
          <w:szCs w:val="24"/>
        </w:rPr>
        <w:t>3</w:t>
      </w:r>
      <w:r w:rsidR="00E04E3B" w:rsidRPr="0039613F">
        <w:rPr>
          <w:rFonts w:cstheme="minorHAnsi"/>
          <w:color w:val="17365D" w:themeColor="text2" w:themeShade="BF"/>
          <w:sz w:val="24"/>
          <w:szCs w:val="24"/>
        </w:rPr>
        <w:t>3</w:t>
      </w:r>
      <w:r w:rsidRPr="00024A08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4D11EC" w:rsidRPr="00024A08">
        <w:rPr>
          <w:rFonts w:cstheme="minorHAnsi"/>
          <w:color w:val="17365D" w:themeColor="text2" w:themeShade="BF"/>
          <w:sz w:val="24"/>
          <w:szCs w:val="24"/>
        </w:rPr>
        <w:t xml:space="preserve">must be only reported with </w:t>
      </w:r>
      <w:r w:rsidR="00B24059" w:rsidRPr="00024A08">
        <w:rPr>
          <w:rFonts w:cstheme="minorHAnsi"/>
          <w:color w:val="17365D" w:themeColor="text2" w:themeShade="BF"/>
          <w:sz w:val="24"/>
          <w:szCs w:val="24"/>
        </w:rPr>
        <w:t>Encounter Type</w:t>
      </w:r>
      <w:r w:rsidR="000A1CBC" w:rsidRPr="00024A08">
        <w:rPr>
          <w:rFonts w:cstheme="minorHAnsi"/>
          <w:color w:val="17365D" w:themeColor="text2" w:themeShade="BF"/>
          <w:sz w:val="24"/>
          <w:szCs w:val="24"/>
        </w:rPr>
        <w:t xml:space="preserve"> 7</w:t>
      </w:r>
      <w:r w:rsidR="000A1CBC" w:rsidRPr="00E4784E">
        <w:t xml:space="preserve"> </w:t>
      </w:r>
      <w:r w:rsidR="000A1CBC" w:rsidRPr="00024A08">
        <w:rPr>
          <w:rFonts w:cstheme="minorHAnsi"/>
          <w:color w:val="17365D" w:themeColor="text2" w:themeShade="BF"/>
          <w:sz w:val="24"/>
          <w:szCs w:val="24"/>
        </w:rPr>
        <w:t>=</w:t>
      </w:r>
      <w:r w:rsidR="00E4784E" w:rsidRPr="00024A08">
        <w:rPr>
          <w:rFonts w:cstheme="minorHAnsi"/>
          <w:color w:val="17365D" w:themeColor="text2" w:themeShade="BF"/>
          <w:sz w:val="24"/>
          <w:szCs w:val="24"/>
        </w:rPr>
        <w:t xml:space="preserve"> Nationals Screening</w:t>
      </w:r>
      <w:r w:rsidR="00024A08">
        <w:rPr>
          <w:rFonts w:cstheme="minorHAnsi"/>
          <w:color w:val="17365D" w:themeColor="text2" w:themeShade="BF"/>
          <w:sz w:val="24"/>
          <w:szCs w:val="24"/>
        </w:rPr>
        <w:t xml:space="preserve">. </w:t>
      </w:r>
      <w:r w:rsidR="00E46FFA">
        <w:rPr>
          <w:rFonts w:cstheme="minorHAnsi"/>
          <w:color w:val="17365D" w:themeColor="text2" w:themeShade="BF"/>
          <w:sz w:val="24"/>
          <w:szCs w:val="24"/>
        </w:rPr>
        <w:t>Refer to Table 1 for the list of appropriate screening codes for each age group and gender.</w:t>
      </w:r>
    </w:p>
    <w:p w14:paraId="1425EDA5" w14:textId="77777777" w:rsidR="007074E9" w:rsidRPr="007074E9" w:rsidRDefault="007074E9" w:rsidP="007074E9">
      <w:pPr>
        <w:pStyle w:val="ListParagraph"/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5C197924" w14:textId="7BB411BE" w:rsidR="00686B26" w:rsidRPr="007074E9" w:rsidRDefault="000A1CBC" w:rsidP="00686B2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B42DA8">
        <w:rPr>
          <w:rFonts w:cs="Calibri"/>
          <w:color w:val="17365D"/>
          <w:sz w:val="24"/>
          <w:szCs w:val="24"/>
        </w:rPr>
        <w:t xml:space="preserve">An observation must be reported in the </w:t>
      </w:r>
      <w:proofErr w:type="spellStart"/>
      <w:r w:rsidRPr="00B42DA8">
        <w:rPr>
          <w:rFonts w:cs="Calibri"/>
          <w:color w:val="17365D"/>
          <w:sz w:val="24"/>
          <w:szCs w:val="24"/>
        </w:rPr>
        <w:t>eC</w:t>
      </w:r>
      <w:r>
        <w:rPr>
          <w:rFonts w:cs="Calibri"/>
          <w:color w:val="17365D"/>
          <w:sz w:val="24"/>
          <w:szCs w:val="24"/>
        </w:rPr>
        <w:t>laim</w:t>
      </w:r>
      <w:proofErr w:type="spellEnd"/>
      <w:r>
        <w:rPr>
          <w:rFonts w:cs="Calibri"/>
          <w:color w:val="17365D"/>
          <w:sz w:val="24"/>
          <w:szCs w:val="24"/>
        </w:rPr>
        <w:t xml:space="preserve"> with the use of Codes </w:t>
      </w:r>
      <w:r w:rsidRPr="007074E9">
        <w:rPr>
          <w:rFonts w:cs="Calibri"/>
          <w:color w:val="17365D"/>
          <w:sz w:val="24"/>
          <w:szCs w:val="24"/>
        </w:rPr>
        <w:t>5</w:t>
      </w:r>
      <w:r w:rsidR="000443D4">
        <w:rPr>
          <w:rFonts w:cs="Calibri"/>
          <w:color w:val="17365D"/>
          <w:sz w:val="24"/>
          <w:szCs w:val="24"/>
        </w:rPr>
        <w:t>2</w:t>
      </w:r>
      <w:r w:rsidRPr="007074E9">
        <w:rPr>
          <w:rFonts w:cs="Calibri"/>
          <w:color w:val="17365D"/>
          <w:sz w:val="24"/>
          <w:szCs w:val="24"/>
        </w:rPr>
        <w:t>-</w:t>
      </w:r>
      <w:r w:rsidR="000443D4">
        <w:rPr>
          <w:rFonts w:cs="Calibri"/>
          <w:color w:val="17365D"/>
          <w:sz w:val="24"/>
          <w:szCs w:val="24"/>
        </w:rPr>
        <w:t>21</w:t>
      </w:r>
      <w:r w:rsidRPr="007074E9">
        <w:rPr>
          <w:rFonts w:cs="Calibri"/>
          <w:color w:val="17365D"/>
          <w:sz w:val="24"/>
          <w:szCs w:val="24"/>
        </w:rPr>
        <w:t xml:space="preserve"> to 5</w:t>
      </w:r>
      <w:r w:rsidR="000443D4">
        <w:rPr>
          <w:rFonts w:cs="Calibri"/>
          <w:color w:val="17365D"/>
          <w:sz w:val="24"/>
          <w:szCs w:val="24"/>
        </w:rPr>
        <w:t>2</w:t>
      </w:r>
      <w:r w:rsidRPr="007074E9">
        <w:rPr>
          <w:rFonts w:cs="Calibri"/>
          <w:color w:val="17365D"/>
          <w:sz w:val="24"/>
          <w:szCs w:val="24"/>
        </w:rPr>
        <w:t>-</w:t>
      </w:r>
      <w:r w:rsidR="000443D4">
        <w:rPr>
          <w:rFonts w:cs="Calibri"/>
          <w:color w:val="17365D"/>
          <w:sz w:val="24"/>
          <w:szCs w:val="24"/>
        </w:rPr>
        <w:t>3</w:t>
      </w:r>
      <w:r w:rsidR="00E04E3B" w:rsidRPr="0039613F">
        <w:rPr>
          <w:rFonts w:cs="Calibri"/>
          <w:color w:val="17365D"/>
          <w:sz w:val="24"/>
          <w:szCs w:val="24"/>
        </w:rPr>
        <w:t>3</w:t>
      </w:r>
      <w:r w:rsidRPr="007074E9">
        <w:rPr>
          <w:rFonts w:cs="Calibri"/>
          <w:color w:val="17365D"/>
          <w:sz w:val="24"/>
          <w:szCs w:val="24"/>
        </w:rPr>
        <w:t xml:space="preserve"> as </w:t>
      </w:r>
      <w:r w:rsidRPr="00B42DA8">
        <w:rPr>
          <w:rFonts w:cs="Calibri"/>
          <w:color w:val="17365D"/>
          <w:sz w:val="24"/>
          <w:szCs w:val="24"/>
        </w:rPr>
        <w:t xml:space="preserve">defined in Routine Reporting Requirements published on </w:t>
      </w:r>
      <w:hyperlink r:id="rId13" w:history="1">
        <w:r w:rsidRPr="003E40BC">
          <w:rPr>
            <w:rStyle w:val="Hyperlink"/>
            <w:rFonts w:cs="Calibri"/>
            <w:sz w:val="24"/>
            <w:szCs w:val="24"/>
          </w:rPr>
          <w:t>https://www.doh.gov.ae/en/Shafafiya/reporting</w:t>
        </w:r>
      </w:hyperlink>
      <w:r>
        <w:rPr>
          <w:rFonts w:cs="Calibri"/>
          <w:color w:val="17365D"/>
          <w:sz w:val="24"/>
          <w:szCs w:val="24"/>
        </w:rPr>
        <w:t xml:space="preserve"> </w:t>
      </w:r>
    </w:p>
    <w:p w14:paraId="2B334214" w14:textId="77777777" w:rsidR="007074E9" w:rsidRPr="007074E9" w:rsidRDefault="007074E9" w:rsidP="007074E9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344D2ACC" w14:textId="0A3ED852" w:rsidR="007074E9" w:rsidRDefault="003A1771" w:rsidP="007074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686B26">
        <w:rPr>
          <w:rFonts w:cs="Calibri"/>
          <w:color w:val="17365D"/>
          <w:sz w:val="24"/>
          <w:szCs w:val="24"/>
        </w:rPr>
        <w:t>For the services that</w:t>
      </w:r>
      <w:r w:rsidRPr="0039613F">
        <w:rPr>
          <w:rFonts w:cs="Calibri"/>
          <w:color w:val="17365D"/>
          <w:sz w:val="24"/>
          <w:szCs w:val="24"/>
        </w:rPr>
        <w:t xml:space="preserve"> are</w:t>
      </w:r>
      <w:r w:rsidRPr="00686B26">
        <w:rPr>
          <w:rFonts w:cs="Calibri"/>
          <w:color w:val="17365D"/>
          <w:sz w:val="24"/>
          <w:szCs w:val="24"/>
        </w:rPr>
        <w:t xml:space="preserve"> included in the </w:t>
      </w:r>
      <w:r w:rsidRPr="0039613F">
        <w:rPr>
          <w:rFonts w:cs="Calibri"/>
          <w:color w:val="17365D"/>
          <w:sz w:val="24"/>
          <w:szCs w:val="24"/>
        </w:rPr>
        <w:t>service code</w:t>
      </w:r>
      <w:r w:rsidR="0091673F" w:rsidRPr="0039613F">
        <w:rPr>
          <w:rFonts w:cs="Calibri"/>
          <w:color w:val="17365D"/>
          <w:sz w:val="24"/>
          <w:szCs w:val="24"/>
        </w:rPr>
        <w:t>s</w:t>
      </w:r>
      <w:r w:rsidRPr="0039613F">
        <w:rPr>
          <w:rFonts w:cs="Calibri"/>
          <w:color w:val="17365D"/>
          <w:sz w:val="24"/>
          <w:szCs w:val="24"/>
        </w:rPr>
        <w:t xml:space="preserve">, </w:t>
      </w:r>
      <w:r w:rsidRPr="00686B26">
        <w:rPr>
          <w:rFonts w:cs="Calibri"/>
          <w:color w:val="17365D"/>
          <w:sz w:val="24"/>
          <w:szCs w:val="24"/>
        </w:rPr>
        <w:t>providers are required to report the codes as activity line at claims level but keep charges at a value of zero as a prerequisite for reimbursement.</w:t>
      </w:r>
      <w:r w:rsidR="00686B26" w:rsidRPr="00686B26">
        <w:rPr>
          <w:rFonts w:cstheme="minorHAnsi"/>
          <w:color w:val="17365D" w:themeColor="text2" w:themeShade="BF"/>
          <w:sz w:val="24"/>
          <w:szCs w:val="24"/>
        </w:rPr>
        <w:t xml:space="preserve"> </w:t>
      </w:r>
    </w:p>
    <w:p w14:paraId="10CD7049" w14:textId="77777777" w:rsidR="007074E9" w:rsidRPr="007074E9" w:rsidRDefault="007074E9" w:rsidP="007074E9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13353974" w14:textId="679D46CF" w:rsidR="00686B26" w:rsidRDefault="00686B26" w:rsidP="007074E9">
      <w:pPr>
        <w:pStyle w:val="ListParagraph"/>
        <w:numPr>
          <w:ilvl w:val="0"/>
          <w:numId w:val="8"/>
        </w:numPr>
        <w:spacing w:after="0" w:line="240" w:lineRule="auto"/>
        <w:ind w:left="792" w:hanging="432"/>
        <w:jc w:val="both"/>
        <w:rPr>
          <w:rFonts w:cstheme="minorHAnsi"/>
          <w:color w:val="17365D"/>
          <w:sz w:val="24"/>
          <w:szCs w:val="24"/>
        </w:rPr>
      </w:pPr>
      <w:r w:rsidRPr="007074E9">
        <w:rPr>
          <w:rFonts w:cstheme="minorHAnsi"/>
          <w:color w:val="17365D"/>
          <w:sz w:val="24"/>
          <w:szCs w:val="24"/>
        </w:rPr>
        <w:t>All activities within each screening package</w:t>
      </w:r>
      <w:r w:rsidR="00882EBF" w:rsidRPr="007074E9">
        <w:rPr>
          <w:color w:val="17365D"/>
        </w:rPr>
        <w:t xml:space="preserve"> </w:t>
      </w:r>
      <w:r w:rsidR="00882EBF" w:rsidRPr="007074E9">
        <w:rPr>
          <w:rFonts w:cstheme="minorHAnsi"/>
          <w:color w:val="17365D"/>
          <w:sz w:val="24"/>
          <w:szCs w:val="24"/>
        </w:rPr>
        <w:t>are required in order to bill for a comprehensive screening package service code</w:t>
      </w:r>
      <w:r w:rsidR="00CB3D5F">
        <w:rPr>
          <w:rFonts w:cstheme="minorHAnsi"/>
          <w:color w:val="17365D"/>
          <w:sz w:val="24"/>
          <w:szCs w:val="24"/>
        </w:rPr>
        <w:t>,</w:t>
      </w:r>
      <w:r w:rsidRPr="007074E9">
        <w:rPr>
          <w:rFonts w:cstheme="minorHAnsi"/>
          <w:color w:val="17365D"/>
          <w:sz w:val="24"/>
          <w:szCs w:val="24"/>
        </w:rPr>
        <w:t xml:space="preserve"> </w:t>
      </w:r>
      <w:r w:rsidR="00D25B80" w:rsidRPr="007074E9">
        <w:rPr>
          <w:rFonts w:cstheme="minorHAnsi"/>
          <w:color w:val="17365D"/>
          <w:sz w:val="24"/>
          <w:szCs w:val="24"/>
        </w:rPr>
        <w:t>missing act</w:t>
      </w:r>
      <w:r w:rsidR="00882EBF" w:rsidRPr="007074E9">
        <w:rPr>
          <w:rFonts w:cstheme="minorHAnsi"/>
          <w:color w:val="17365D"/>
          <w:sz w:val="24"/>
          <w:szCs w:val="24"/>
        </w:rPr>
        <w:t>ivit</w:t>
      </w:r>
      <w:r w:rsidR="00071B60">
        <w:rPr>
          <w:rFonts w:cstheme="minorHAnsi"/>
          <w:color w:val="17365D"/>
          <w:sz w:val="24"/>
          <w:szCs w:val="24"/>
        </w:rPr>
        <w:t>ies due to medical reasons</w:t>
      </w:r>
      <w:r w:rsidR="00882EBF" w:rsidRPr="007074E9">
        <w:rPr>
          <w:rFonts w:cstheme="minorHAnsi"/>
          <w:color w:val="17365D"/>
          <w:sz w:val="24"/>
          <w:szCs w:val="24"/>
        </w:rPr>
        <w:t xml:space="preserve"> </w:t>
      </w:r>
      <w:r w:rsidR="00071B60">
        <w:rPr>
          <w:rFonts w:cstheme="minorHAnsi"/>
          <w:color w:val="17365D"/>
          <w:sz w:val="24"/>
          <w:szCs w:val="24"/>
        </w:rPr>
        <w:t xml:space="preserve">would be accepted for payment purposes based on proper documentation. </w:t>
      </w:r>
    </w:p>
    <w:p w14:paraId="25DF010C" w14:textId="77777777" w:rsidR="007074E9" w:rsidRPr="007074E9" w:rsidRDefault="007074E9" w:rsidP="007074E9">
      <w:pPr>
        <w:spacing w:after="0" w:line="240" w:lineRule="auto"/>
        <w:jc w:val="both"/>
        <w:rPr>
          <w:rFonts w:cstheme="minorHAnsi"/>
          <w:color w:val="17365D"/>
          <w:sz w:val="24"/>
          <w:szCs w:val="24"/>
        </w:rPr>
      </w:pPr>
    </w:p>
    <w:p w14:paraId="30642673" w14:textId="621BE49B" w:rsidR="004D11EC" w:rsidRDefault="004D11EC" w:rsidP="007074E9">
      <w:pPr>
        <w:pStyle w:val="ListParagraph"/>
        <w:numPr>
          <w:ilvl w:val="0"/>
          <w:numId w:val="8"/>
        </w:numPr>
        <w:spacing w:after="0" w:line="240" w:lineRule="auto"/>
        <w:ind w:left="792" w:hanging="432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3E574F">
        <w:rPr>
          <w:rFonts w:cstheme="minorHAnsi"/>
          <w:color w:val="17365D"/>
          <w:sz w:val="24"/>
          <w:szCs w:val="24"/>
        </w:rPr>
        <w:t xml:space="preserve">Reimbursement for codes </w:t>
      </w:r>
      <w:r w:rsidR="00402F35" w:rsidRPr="003E574F">
        <w:rPr>
          <w:rFonts w:cs="Calibri"/>
          <w:color w:val="17365D"/>
          <w:sz w:val="24"/>
          <w:szCs w:val="24"/>
        </w:rPr>
        <w:t>5</w:t>
      </w:r>
      <w:r w:rsidR="000443D4">
        <w:rPr>
          <w:rFonts w:cs="Calibri"/>
          <w:color w:val="17365D"/>
          <w:sz w:val="24"/>
          <w:szCs w:val="24"/>
        </w:rPr>
        <w:t>2</w:t>
      </w:r>
      <w:r w:rsidR="00402F35" w:rsidRPr="003E574F">
        <w:rPr>
          <w:rFonts w:cs="Calibri"/>
          <w:color w:val="17365D"/>
          <w:sz w:val="24"/>
          <w:szCs w:val="24"/>
        </w:rPr>
        <w:t>-</w:t>
      </w:r>
      <w:r w:rsidR="000443D4">
        <w:rPr>
          <w:rFonts w:cs="Calibri"/>
          <w:color w:val="17365D"/>
          <w:sz w:val="24"/>
          <w:szCs w:val="24"/>
        </w:rPr>
        <w:t>21</w:t>
      </w:r>
      <w:r w:rsidR="00402F35" w:rsidRPr="003E574F">
        <w:rPr>
          <w:rFonts w:cs="Calibri"/>
          <w:color w:val="17365D"/>
          <w:sz w:val="24"/>
          <w:szCs w:val="24"/>
        </w:rPr>
        <w:t xml:space="preserve"> </w:t>
      </w:r>
      <w:r w:rsidR="00402F35" w:rsidRPr="0039613F">
        <w:rPr>
          <w:rFonts w:cs="Calibri"/>
          <w:color w:val="17365D"/>
          <w:sz w:val="24"/>
          <w:szCs w:val="24"/>
        </w:rPr>
        <w:t>to 5</w:t>
      </w:r>
      <w:r w:rsidR="000443D4" w:rsidRPr="0039613F">
        <w:rPr>
          <w:rFonts w:cs="Calibri"/>
          <w:color w:val="17365D"/>
          <w:sz w:val="24"/>
          <w:szCs w:val="24"/>
        </w:rPr>
        <w:t>2</w:t>
      </w:r>
      <w:r w:rsidR="00402F35" w:rsidRPr="0039613F">
        <w:rPr>
          <w:rFonts w:cs="Calibri"/>
          <w:color w:val="17365D"/>
          <w:sz w:val="24"/>
          <w:szCs w:val="24"/>
        </w:rPr>
        <w:t>-</w:t>
      </w:r>
      <w:r w:rsidR="000443D4" w:rsidRPr="0039613F">
        <w:rPr>
          <w:rFonts w:cs="Calibri"/>
          <w:color w:val="17365D"/>
          <w:sz w:val="24"/>
          <w:szCs w:val="24"/>
        </w:rPr>
        <w:t>3</w:t>
      </w:r>
      <w:r w:rsidR="00E04E3B" w:rsidRPr="0039613F">
        <w:rPr>
          <w:rFonts w:cs="Calibri"/>
          <w:color w:val="17365D"/>
          <w:sz w:val="24"/>
          <w:szCs w:val="24"/>
        </w:rPr>
        <w:t>3</w:t>
      </w:r>
      <w:r w:rsidR="00402F35" w:rsidRPr="0039613F">
        <w:rPr>
          <w:rFonts w:cs="Calibri"/>
          <w:color w:val="17365D"/>
          <w:sz w:val="24"/>
          <w:szCs w:val="24"/>
        </w:rPr>
        <w:t xml:space="preserve"> </w:t>
      </w:r>
      <w:r w:rsidRPr="0039613F">
        <w:rPr>
          <w:rFonts w:cstheme="minorHAnsi"/>
          <w:color w:val="17365D"/>
          <w:sz w:val="24"/>
          <w:szCs w:val="24"/>
        </w:rPr>
        <w:t>shall not be allowed with CPTs 99201-99215, 99401–</w:t>
      </w:r>
      <w:r w:rsidR="00A6136F" w:rsidRPr="0039613F">
        <w:rPr>
          <w:rFonts w:cstheme="minorHAnsi"/>
          <w:color w:val="17365D"/>
          <w:sz w:val="24"/>
          <w:szCs w:val="24"/>
        </w:rPr>
        <w:t xml:space="preserve"> 99412, 96160 </w:t>
      </w:r>
      <w:r w:rsidRPr="0039613F">
        <w:rPr>
          <w:rFonts w:cstheme="minorHAnsi"/>
          <w:color w:val="17365D"/>
          <w:sz w:val="24"/>
          <w:szCs w:val="24"/>
        </w:rPr>
        <w:t xml:space="preserve">and 99381-99387; </w:t>
      </w:r>
      <w:r w:rsidRPr="0039613F">
        <w:rPr>
          <w:rFonts w:cs="Calibri"/>
          <w:color w:val="17365D"/>
          <w:sz w:val="24"/>
          <w:szCs w:val="24"/>
        </w:rPr>
        <w:t xml:space="preserve">if billed by the same facility, for the same patient, same </w:t>
      </w:r>
      <w:r w:rsidR="00B24059" w:rsidRPr="0039613F">
        <w:rPr>
          <w:rFonts w:cs="Calibri"/>
          <w:color w:val="17365D"/>
          <w:sz w:val="24"/>
          <w:szCs w:val="24"/>
        </w:rPr>
        <w:t>principal</w:t>
      </w:r>
      <w:r w:rsidRPr="0039613F">
        <w:rPr>
          <w:rFonts w:cs="Calibri"/>
          <w:color w:val="17365D"/>
          <w:sz w:val="24"/>
          <w:szCs w:val="24"/>
        </w:rPr>
        <w:t xml:space="preserve"> diagnosis</w:t>
      </w:r>
      <w:r w:rsidRPr="0039613F" w:rsidDel="00945B7D">
        <w:rPr>
          <w:rFonts w:cs="Calibri"/>
          <w:color w:val="17365D"/>
          <w:sz w:val="24"/>
          <w:szCs w:val="24"/>
        </w:rPr>
        <w:t xml:space="preserve"> </w:t>
      </w:r>
      <w:r w:rsidRPr="0039613F">
        <w:rPr>
          <w:rFonts w:cs="Calibri"/>
          <w:color w:val="17365D"/>
          <w:sz w:val="24"/>
          <w:szCs w:val="24"/>
        </w:rPr>
        <w:t>(</w:t>
      </w:r>
      <w:r w:rsidR="003E546D" w:rsidRPr="0039613F">
        <w:rPr>
          <w:rFonts w:cs="Calibri"/>
          <w:color w:val="17365D"/>
          <w:sz w:val="24"/>
          <w:szCs w:val="24"/>
        </w:rPr>
        <w:t>Comprehensive</w:t>
      </w:r>
      <w:r w:rsidRPr="0039613F">
        <w:rPr>
          <w:rFonts w:cs="Calibri"/>
          <w:color w:val="17365D"/>
          <w:sz w:val="24"/>
          <w:szCs w:val="24"/>
        </w:rPr>
        <w:t xml:space="preserve"> Screening) on the same date of service</w:t>
      </w:r>
      <w:r w:rsidRPr="0039613F">
        <w:rPr>
          <w:rFonts w:cstheme="minorHAnsi"/>
          <w:color w:val="17365D"/>
          <w:sz w:val="24"/>
          <w:szCs w:val="24"/>
        </w:rPr>
        <w:t xml:space="preserve">. </w:t>
      </w:r>
    </w:p>
    <w:p w14:paraId="10542C42" w14:textId="77777777" w:rsidR="007074E9" w:rsidRPr="007074E9" w:rsidRDefault="007074E9" w:rsidP="007074E9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0D23E39F" w14:textId="0E3761C8" w:rsidR="004D11EC" w:rsidRDefault="004D11EC" w:rsidP="00686B26">
      <w:pPr>
        <w:pStyle w:val="ListParagraph"/>
        <w:numPr>
          <w:ilvl w:val="0"/>
          <w:numId w:val="8"/>
        </w:numPr>
        <w:spacing w:after="0" w:line="240" w:lineRule="auto"/>
        <w:ind w:left="792" w:hanging="432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3E574F">
        <w:rPr>
          <w:rFonts w:cstheme="minorHAnsi"/>
          <w:color w:val="17365D"/>
          <w:sz w:val="24"/>
          <w:szCs w:val="24"/>
        </w:rPr>
        <w:t xml:space="preserve">“E&amp;M Follow up within one week” rule shall not be applicable to service </w:t>
      </w:r>
      <w:r w:rsidRPr="007074E9">
        <w:rPr>
          <w:rFonts w:cstheme="minorHAnsi"/>
          <w:color w:val="17365D"/>
          <w:sz w:val="24"/>
          <w:szCs w:val="24"/>
        </w:rPr>
        <w:t xml:space="preserve">codes </w:t>
      </w:r>
      <w:r w:rsidR="003E546D" w:rsidRPr="007074E9">
        <w:rPr>
          <w:rFonts w:cstheme="minorHAnsi"/>
          <w:color w:val="17365D"/>
          <w:sz w:val="24"/>
          <w:szCs w:val="24"/>
        </w:rPr>
        <w:t>5</w:t>
      </w:r>
      <w:r w:rsidR="000443D4">
        <w:rPr>
          <w:rFonts w:cstheme="minorHAnsi"/>
          <w:color w:val="17365D"/>
          <w:sz w:val="24"/>
          <w:szCs w:val="24"/>
        </w:rPr>
        <w:t>2</w:t>
      </w:r>
      <w:r w:rsidR="003E546D" w:rsidRPr="007074E9">
        <w:rPr>
          <w:rFonts w:cstheme="minorHAnsi"/>
          <w:color w:val="17365D"/>
          <w:sz w:val="24"/>
          <w:szCs w:val="24"/>
        </w:rPr>
        <w:t>-</w:t>
      </w:r>
      <w:r w:rsidR="000443D4">
        <w:rPr>
          <w:rFonts w:cstheme="minorHAnsi"/>
          <w:color w:val="17365D"/>
          <w:sz w:val="24"/>
          <w:szCs w:val="24"/>
        </w:rPr>
        <w:t>21</w:t>
      </w:r>
      <w:r w:rsidR="003E546D" w:rsidRPr="007074E9">
        <w:rPr>
          <w:rFonts w:cstheme="minorHAnsi"/>
          <w:color w:val="17365D"/>
          <w:sz w:val="24"/>
          <w:szCs w:val="24"/>
        </w:rPr>
        <w:t xml:space="preserve"> </w:t>
      </w:r>
      <w:r w:rsidR="00402F35" w:rsidRPr="007074E9">
        <w:rPr>
          <w:rFonts w:cstheme="minorHAnsi"/>
          <w:color w:val="17365D"/>
          <w:sz w:val="24"/>
          <w:szCs w:val="24"/>
        </w:rPr>
        <w:t>to 5</w:t>
      </w:r>
      <w:r w:rsidR="000443D4">
        <w:rPr>
          <w:rFonts w:cstheme="minorHAnsi"/>
          <w:color w:val="17365D"/>
          <w:sz w:val="24"/>
          <w:szCs w:val="24"/>
        </w:rPr>
        <w:t>2</w:t>
      </w:r>
      <w:r w:rsidR="00402F35" w:rsidRPr="007074E9">
        <w:rPr>
          <w:rFonts w:cstheme="minorHAnsi"/>
          <w:color w:val="17365D"/>
          <w:sz w:val="24"/>
          <w:szCs w:val="24"/>
        </w:rPr>
        <w:t>-</w:t>
      </w:r>
      <w:r w:rsidR="000443D4" w:rsidRPr="0039613F">
        <w:rPr>
          <w:rFonts w:cstheme="minorHAnsi"/>
          <w:color w:val="17365D"/>
          <w:sz w:val="24"/>
          <w:szCs w:val="24"/>
        </w:rPr>
        <w:t>3</w:t>
      </w:r>
      <w:r w:rsidR="00E04E3B" w:rsidRPr="0039613F">
        <w:rPr>
          <w:rFonts w:cstheme="minorHAnsi"/>
          <w:color w:val="17365D"/>
          <w:sz w:val="24"/>
          <w:szCs w:val="24"/>
        </w:rPr>
        <w:t>3</w:t>
      </w:r>
      <w:r w:rsidRPr="0039613F">
        <w:rPr>
          <w:rFonts w:cstheme="minorHAnsi"/>
          <w:color w:val="17365D"/>
          <w:sz w:val="24"/>
          <w:szCs w:val="24"/>
        </w:rPr>
        <w:t xml:space="preserve">. Hence, reimbursement shall be allowed for subsequent Evaluation and Management office visit, if deemed </w:t>
      </w:r>
      <w:r w:rsidRPr="00B71013">
        <w:rPr>
          <w:rFonts w:cstheme="minorHAnsi"/>
          <w:color w:val="17365D" w:themeColor="text2" w:themeShade="BF"/>
          <w:sz w:val="24"/>
          <w:szCs w:val="24"/>
        </w:rPr>
        <w:t>medically necessary.</w:t>
      </w:r>
    </w:p>
    <w:p w14:paraId="34DFF612" w14:textId="77777777" w:rsidR="004D11EC" w:rsidRPr="00B71013" w:rsidRDefault="004D11EC" w:rsidP="00686B26">
      <w:pPr>
        <w:pStyle w:val="ListParagraph"/>
        <w:spacing w:after="0" w:line="240" w:lineRule="auto"/>
        <w:ind w:left="792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0EEFE9EF" w14:textId="7E2E455C" w:rsidR="004D11EC" w:rsidRPr="00402F35" w:rsidRDefault="004D11EC" w:rsidP="00686B26">
      <w:pPr>
        <w:pStyle w:val="ListParagraph"/>
        <w:numPr>
          <w:ilvl w:val="0"/>
          <w:numId w:val="8"/>
        </w:numPr>
        <w:spacing w:after="0" w:line="240" w:lineRule="auto"/>
        <w:ind w:left="792" w:hanging="432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B71013">
        <w:rPr>
          <w:rFonts w:cstheme="minorHAnsi"/>
          <w:color w:val="17365D" w:themeColor="text2" w:themeShade="BF"/>
          <w:sz w:val="24"/>
          <w:szCs w:val="24"/>
        </w:rPr>
        <w:t>Coding and reimbursement of subsequent services (</w:t>
      </w:r>
      <w:r w:rsidR="009B182D">
        <w:rPr>
          <w:rFonts w:cstheme="minorHAnsi"/>
          <w:color w:val="17365D" w:themeColor="text2" w:themeShade="BF"/>
          <w:sz w:val="24"/>
          <w:szCs w:val="24"/>
        </w:rPr>
        <w:t>as below</w:t>
      </w:r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) shall be based on the medical necessity determined by the initial screening outcomes or services prescribed by </w:t>
      </w:r>
      <w:r w:rsidR="00071B60">
        <w:rPr>
          <w:rFonts w:cstheme="minorHAnsi"/>
          <w:color w:val="17365D" w:themeColor="text2" w:themeShade="BF"/>
          <w:sz w:val="24"/>
          <w:szCs w:val="24"/>
        </w:rPr>
        <w:t xml:space="preserve">DOH </w:t>
      </w:r>
      <w:r w:rsidR="00402F35">
        <w:rPr>
          <w:rFonts w:cstheme="minorHAnsi"/>
          <w:color w:val="17365D" w:themeColor="text2" w:themeShade="BF"/>
          <w:sz w:val="24"/>
          <w:szCs w:val="24"/>
        </w:rPr>
        <w:t>comprehensive screening program</w:t>
      </w:r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Pr="00402F35">
        <w:rPr>
          <w:rFonts w:cstheme="minorHAnsi"/>
          <w:color w:val="17365D" w:themeColor="text2" w:themeShade="BF"/>
          <w:sz w:val="24"/>
          <w:szCs w:val="24"/>
        </w:rPr>
        <w:t>standard. Whereby;</w:t>
      </w:r>
    </w:p>
    <w:p w14:paraId="24EE1DB0" w14:textId="3069814F" w:rsidR="004D11EC" w:rsidRDefault="004D11EC" w:rsidP="00686B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Preventive medicine counseling CPT codes (99401 – </w:t>
      </w:r>
      <w:r w:rsidR="00A6136F" w:rsidRPr="00593879">
        <w:rPr>
          <w:rFonts w:cstheme="minorHAnsi"/>
          <w:color w:val="17365D" w:themeColor="text2" w:themeShade="BF"/>
          <w:sz w:val="24"/>
          <w:szCs w:val="24"/>
        </w:rPr>
        <w:t>99412, 96160</w:t>
      </w:r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) shall be allowed for patients with established medium to high risk factors </w:t>
      </w:r>
      <w:r w:rsidR="00024A08">
        <w:rPr>
          <w:rFonts w:cstheme="minorHAnsi"/>
          <w:color w:val="17365D" w:themeColor="text2" w:themeShade="BF"/>
          <w:sz w:val="24"/>
          <w:szCs w:val="24"/>
        </w:rPr>
        <w:t>a</w:t>
      </w:r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nd/or further investigation or diagnostic services on any abnormal finding detected from the screening services. </w:t>
      </w:r>
    </w:p>
    <w:p w14:paraId="62BE5AD7" w14:textId="4CA9FC8A" w:rsidR="006866C6" w:rsidRPr="006866C6" w:rsidRDefault="004D11EC" w:rsidP="006866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In the absence of established risk factor or for subsequent encounter after counseling was commenced, and where abnormal finding were detected; such </w:t>
      </w:r>
      <w:r w:rsidRPr="00B71013">
        <w:rPr>
          <w:rFonts w:cstheme="minorHAnsi"/>
          <w:color w:val="17365D" w:themeColor="text2" w:themeShade="BF"/>
          <w:sz w:val="24"/>
          <w:szCs w:val="24"/>
        </w:rPr>
        <w:lastRenderedPageBreak/>
        <w:t xml:space="preserve">encounters shall be billed and reimbursed </w:t>
      </w:r>
      <w:r>
        <w:rPr>
          <w:rFonts w:cstheme="minorHAnsi"/>
          <w:color w:val="17365D" w:themeColor="text2" w:themeShade="BF"/>
          <w:sz w:val="24"/>
          <w:szCs w:val="24"/>
        </w:rPr>
        <w:t xml:space="preserve">using the </w:t>
      </w:r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E&amp;M </w:t>
      </w:r>
      <w:r>
        <w:rPr>
          <w:rFonts w:cstheme="minorHAnsi"/>
          <w:color w:val="17365D" w:themeColor="text2" w:themeShade="BF"/>
          <w:sz w:val="24"/>
          <w:szCs w:val="24"/>
        </w:rPr>
        <w:t xml:space="preserve">codes </w:t>
      </w:r>
      <w:r w:rsidRPr="00B71013">
        <w:rPr>
          <w:rFonts w:cstheme="minorHAnsi"/>
          <w:color w:val="17365D" w:themeColor="text2" w:themeShade="BF"/>
          <w:sz w:val="24"/>
          <w:szCs w:val="24"/>
        </w:rPr>
        <w:t>as a medical condition and not a preventive service.</w:t>
      </w:r>
    </w:p>
    <w:p w14:paraId="1010A1E5" w14:textId="77777777" w:rsidR="007074E9" w:rsidRPr="007074E9" w:rsidRDefault="007074E9" w:rsidP="007074E9">
      <w:pPr>
        <w:spacing w:after="0" w:line="240" w:lineRule="auto"/>
        <w:ind w:left="1800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356A2981" w14:textId="3B9F1D24" w:rsidR="00F46FDF" w:rsidRPr="0039613F" w:rsidRDefault="006866C6" w:rsidP="00071B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17365D"/>
          <w:sz w:val="24"/>
          <w:szCs w:val="24"/>
        </w:rPr>
      </w:pPr>
      <w:r w:rsidRPr="006866C6">
        <w:rPr>
          <w:rFonts w:cstheme="minorHAnsi"/>
          <w:color w:val="17365D" w:themeColor="text2" w:themeShade="BF"/>
          <w:sz w:val="24"/>
          <w:szCs w:val="24"/>
        </w:rPr>
        <w:t xml:space="preserve">In case of duplication of tests between IFHAS and other screening programs under </w:t>
      </w:r>
      <w:proofErr w:type="spellStart"/>
      <w:r w:rsidRPr="006866C6">
        <w:rPr>
          <w:rFonts w:cstheme="minorHAnsi"/>
          <w:color w:val="17365D" w:themeColor="text2" w:themeShade="BF"/>
          <w:sz w:val="24"/>
          <w:szCs w:val="24"/>
        </w:rPr>
        <w:t>Thiqa</w:t>
      </w:r>
      <w:proofErr w:type="spellEnd"/>
      <w:r w:rsidRPr="006866C6">
        <w:rPr>
          <w:rFonts w:cstheme="minorHAnsi"/>
          <w:color w:val="17365D" w:themeColor="text2" w:themeShade="BF"/>
          <w:sz w:val="24"/>
          <w:szCs w:val="24"/>
        </w:rPr>
        <w:t xml:space="preserve"> within a </w:t>
      </w:r>
      <w:r w:rsidRPr="0039613F">
        <w:rPr>
          <w:rFonts w:cstheme="minorHAnsi"/>
          <w:color w:val="17365D"/>
          <w:sz w:val="24"/>
          <w:szCs w:val="24"/>
        </w:rPr>
        <w:t xml:space="preserve">period of 90 </w:t>
      </w:r>
      <w:r w:rsidR="00071B60" w:rsidRPr="0039613F">
        <w:rPr>
          <w:rFonts w:cstheme="minorHAnsi"/>
          <w:color w:val="17365D"/>
          <w:sz w:val="24"/>
          <w:szCs w:val="24"/>
        </w:rPr>
        <w:t>days</w:t>
      </w:r>
      <w:r w:rsidRPr="0039613F">
        <w:rPr>
          <w:rFonts w:cstheme="minorHAnsi"/>
          <w:color w:val="17365D"/>
          <w:sz w:val="24"/>
          <w:szCs w:val="24"/>
        </w:rPr>
        <w:t xml:space="preserve">, the cost of that test will be subject to recovery. </w:t>
      </w:r>
    </w:p>
    <w:p w14:paraId="5EDBE630" w14:textId="3F9BCD8D" w:rsidR="006866C6" w:rsidRPr="006866C6" w:rsidRDefault="006866C6" w:rsidP="006866C6">
      <w:pPr>
        <w:pStyle w:val="ListParagraph"/>
        <w:numPr>
          <w:ilvl w:val="0"/>
          <w:numId w:val="8"/>
        </w:numPr>
        <w:rPr>
          <w:rFonts w:cstheme="minorHAnsi"/>
          <w:color w:val="17365D" w:themeColor="text2" w:themeShade="BF"/>
          <w:sz w:val="24"/>
          <w:szCs w:val="24"/>
        </w:rPr>
      </w:pPr>
      <w:r w:rsidRPr="0039613F">
        <w:rPr>
          <w:rFonts w:cstheme="minorHAnsi"/>
          <w:color w:val="17365D"/>
          <w:sz w:val="24"/>
          <w:szCs w:val="24"/>
        </w:rPr>
        <w:t xml:space="preserve">Eligibility </w:t>
      </w:r>
      <w:r w:rsidR="00071B60" w:rsidRPr="0039613F">
        <w:rPr>
          <w:rFonts w:cstheme="minorHAnsi"/>
          <w:color w:val="17365D"/>
          <w:sz w:val="24"/>
          <w:szCs w:val="24"/>
        </w:rPr>
        <w:t xml:space="preserve">of the above </w:t>
      </w:r>
      <w:r w:rsidR="00071B60">
        <w:rPr>
          <w:rFonts w:cstheme="minorHAnsi"/>
          <w:color w:val="17365D" w:themeColor="text2" w:themeShade="BF"/>
          <w:sz w:val="24"/>
          <w:szCs w:val="24"/>
        </w:rPr>
        <w:t xml:space="preserve">codes </w:t>
      </w:r>
      <w:r w:rsidRPr="006866C6">
        <w:rPr>
          <w:rFonts w:cstheme="minorHAnsi"/>
          <w:color w:val="17365D" w:themeColor="text2" w:themeShade="BF"/>
          <w:sz w:val="24"/>
          <w:szCs w:val="24"/>
        </w:rPr>
        <w:t xml:space="preserve">will be as per the </w:t>
      </w:r>
      <w:r w:rsidR="00071B60">
        <w:rPr>
          <w:rFonts w:cstheme="minorHAnsi"/>
          <w:color w:val="17365D" w:themeColor="text2" w:themeShade="BF"/>
          <w:sz w:val="24"/>
          <w:szCs w:val="24"/>
        </w:rPr>
        <w:t xml:space="preserve">DOH </w:t>
      </w:r>
      <w:r w:rsidRPr="006866C6">
        <w:rPr>
          <w:rFonts w:cstheme="minorHAnsi"/>
          <w:color w:val="17365D" w:themeColor="text2" w:themeShade="BF"/>
          <w:sz w:val="24"/>
          <w:szCs w:val="24"/>
        </w:rPr>
        <w:t>Comprehensive Screening Program standard.</w:t>
      </w:r>
    </w:p>
    <w:p w14:paraId="1E1F9B5F" w14:textId="0EFBC5A7" w:rsidR="008E18D6" w:rsidRDefault="008E18D6" w:rsidP="007074E9">
      <w:pPr>
        <w:spacing w:after="0" w:line="240" w:lineRule="auto"/>
        <w:jc w:val="both"/>
        <w:rPr>
          <w:rFonts w:cs="Calibri"/>
          <w:color w:val="17365D"/>
          <w:sz w:val="24"/>
          <w:szCs w:val="24"/>
        </w:rPr>
      </w:pPr>
    </w:p>
    <w:p w14:paraId="181BB560" w14:textId="6CA4EBE0" w:rsidR="000E673F" w:rsidRPr="00F46FDF" w:rsidRDefault="00C0470F" w:rsidP="0039613F">
      <w:pPr>
        <w:spacing w:after="0" w:line="240" w:lineRule="auto"/>
        <w:ind w:left="360"/>
        <w:jc w:val="both"/>
        <w:rPr>
          <w:rFonts w:cs="Calibri"/>
          <w:color w:val="17365D"/>
          <w:sz w:val="20"/>
          <w:szCs w:val="20"/>
        </w:rPr>
      </w:pPr>
      <w:r>
        <w:rPr>
          <w:rFonts w:cs="Calibri"/>
          <w:noProof/>
          <w:color w:val="17365D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C8DC51" wp14:editId="0DF9F0B9">
            <wp:simplePos x="0" y="0"/>
            <wp:positionH relativeFrom="page">
              <wp:align>center</wp:align>
            </wp:positionH>
            <wp:positionV relativeFrom="page">
              <wp:posOffset>3329940</wp:posOffset>
            </wp:positionV>
            <wp:extent cx="7403465" cy="2813685"/>
            <wp:effectExtent l="0" t="0" r="6985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465" cy="281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FDF" w:rsidRPr="00F46FDF">
        <w:rPr>
          <w:rFonts w:cs="Calibri"/>
          <w:color w:val="17365D"/>
          <w:sz w:val="20"/>
          <w:szCs w:val="20"/>
        </w:rPr>
        <w:t>Table</w:t>
      </w:r>
      <w:r w:rsidR="00E46FFA">
        <w:rPr>
          <w:rFonts w:cs="Calibri"/>
          <w:color w:val="17365D"/>
          <w:sz w:val="20"/>
          <w:szCs w:val="20"/>
        </w:rPr>
        <w:t xml:space="preserve"> 1</w:t>
      </w:r>
      <w:r w:rsidR="00F46FDF" w:rsidRPr="00F46FDF">
        <w:rPr>
          <w:rFonts w:cs="Calibri"/>
          <w:color w:val="17365D"/>
          <w:sz w:val="20"/>
          <w:szCs w:val="20"/>
        </w:rPr>
        <w:t xml:space="preserve">: Expected Screening map per </w:t>
      </w:r>
      <w:r w:rsidR="00E95BCE">
        <w:rPr>
          <w:rFonts w:cs="Calibri"/>
          <w:color w:val="17365D"/>
          <w:sz w:val="20"/>
          <w:szCs w:val="20"/>
        </w:rPr>
        <w:t>gender &amp; age group</w:t>
      </w:r>
    </w:p>
    <w:p w14:paraId="4B58340A" w14:textId="0AC96E9B" w:rsidR="00F46FDF" w:rsidRPr="005720AA" w:rsidRDefault="00F46FDF" w:rsidP="00C0470F">
      <w:pPr>
        <w:spacing w:after="0" w:line="240" w:lineRule="auto"/>
        <w:ind w:left="360"/>
        <w:rPr>
          <w:rFonts w:cs="Calibri"/>
          <w:color w:val="17365D"/>
          <w:sz w:val="24"/>
          <w:szCs w:val="24"/>
        </w:rPr>
      </w:pPr>
    </w:p>
    <w:sectPr w:rsidR="00F46FDF" w:rsidRPr="005720AA" w:rsidSect="009912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350" w:bottom="1260" w:left="108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F844" w16cex:dateUtc="2022-03-17T14:11:00Z"/>
  <w16cex:commentExtensible w16cex:durableId="25E3060F" w16cex:dateUtc="2022-03-21T10:11:00Z"/>
  <w16cex:commentExtensible w16cex:durableId="25E30674" w16cex:dateUtc="2022-03-21T10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571CE" w14:textId="77777777" w:rsidR="00C420F6" w:rsidRDefault="00C420F6" w:rsidP="003E2D16">
      <w:pPr>
        <w:spacing w:after="0" w:line="240" w:lineRule="auto"/>
      </w:pPr>
      <w:r>
        <w:separator/>
      </w:r>
    </w:p>
  </w:endnote>
  <w:endnote w:type="continuationSeparator" w:id="0">
    <w:p w14:paraId="4BF1A072" w14:textId="77777777" w:rsidR="00C420F6" w:rsidRDefault="00C420F6" w:rsidP="003E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altName w:val="Arial"/>
    <w:charset w:val="00"/>
    <w:family w:val="swiss"/>
    <w:pitch w:val="variable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TTE43B60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21E31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F504" w14:textId="77777777" w:rsidR="004226AB" w:rsidRDefault="004226AB" w:rsidP="006F2963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D1C5B44" wp14:editId="63E60ADB">
              <wp:simplePos x="0" y="0"/>
              <wp:positionH relativeFrom="page">
                <wp:posOffset>200025</wp:posOffset>
              </wp:positionH>
              <wp:positionV relativeFrom="line">
                <wp:posOffset>123825</wp:posOffset>
              </wp:positionV>
              <wp:extent cx="7366635" cy="313690"/>
              <wp:effectExtent l="0" t="0" r="5715" b="0"/>
              <wp:wrapTopAndBottom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13690"/>
                        <a:chOff x="321" y="14850"/>
                        <a:chExt cx="11601" cy="547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10207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Address"/>
                              <w:id w:val="1824775188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0B3B62E8" w14:textId="77777777" w:rsidR="004226AB" w:rsidRPr="006F2963" w:rsidRDefault="00593879" w:rsidP="00725986">
                                <w:pPr>
                                  <w:pStyle w:val="Footer"/>
                                </w:pPr>
                                <w:r>
                                  <w:t xml:space="preserve">Standards and </w:t>
                                </w:r>
                                <w:r w:rsidR="004226AB">
                                  <w:t xml:space="preserve">Prices- Health </w:t>
                                </w:r>
                                <w:r>
                                  <w:t xml:space="preserve">Payers Sector </w:t>
                                </w:r>
                                <w:r w:rsidR="004226AB">
                                  <w:t xml:space="preserve">            </w:t>
                                </w:r>
                              </w:p>
                            </w:sdtContent>
                          </w:sdt>
                          <w:p w14:paraId="004E0E9D" w14:textId="77777777" w:rsidR="004226AB" w:rsidRPr="00D8676B" w:rsidRDefault="004226AB">
                            <w:pPr>
                              <w:pStyle w:val="Head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0581" y="14903"/>
                          <a:ext cx="1284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D58CA" w14:textId="77777777" w:rsidR="004226AB" w:rsidRPr="00D8676B" w:rsidRDefault="004226AB" w:rsidP="006F2963">
                            <w:pPr>
                              <w:pStyle w:val="Footer"/>
                            </w:pPr>
                            <w:r w:rsidRPr="00D8676B"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395FCA">
                              <w:rPr>
                                <w:noProof/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C5B44" id="Group 2" o:spid="_x0000_s1026" style="position:absolute;margin-left:15.75pt;margin-top:9.75pt;width:580.05pt;height:24.7pt;z-index:25165670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">
              <v:rect id="Rectangle 3" o:spid="_x0000_s1027" style="position:absolute;left:374;top:14903;width:1020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" fillcolor="#d8d8d8 [2732]" stroked="f" strokecolor="#943634 [2405]">
                <v:textbox>
                  <w:txbxContent>
                    <w:sdt>
                      <w:sdtPr>
                        <w:alias w:val="Address"/>
                        <w:id w:val="1824775188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0B3B62E8" w14:textId="77777777" w:rsidR="004226AB" w:rsidRPr="006F2963" w:rsidRDefault="00593879" w:rsidP="00725986">
                          <w:pPr>
                            <w:pStyle w:val="Footer"/>
                          </w:pPr>
                          <w:r>
                            <w:t xml:space="preserve">Standards and </w:t>
                          </w:r>
                          <w:r w:rsidR="004226AB">
                            <w:t xml:space="preserve">Prices- Health </w:t>
                          </w:r>
                          <w:r>
                            <w:t xml:space="preserve">Payers Sector </w:t>
                          </w:r>
                          <w:r w:rsidR="004226AB">
                            <w:t xml:space="preserve">            </w:t>
                          </w:r>
                        </w:p>
                      </w:sdtContent>
                    </w:sdt>
                    <w:p w14:paraId="004E0E9D" w14:textId="77777777" w:rsidR="004226AB" w:rsidRPr="00D8676B" w:rsidRDefault="004226AB">
                      <w:pPr>
                        <w:pStyle w:val="Header"/>
                      </w:pPr>
                    </w:p>
                  </w:txbxContent>
                </v:textbox>
              </v:rect>
              <v:rect id="Rectangle 4" o:spid="_x0000_s1028" style="position:absolute;left:10581;top:14903;width:12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" fillcolor="#d8d8d8 [2732]" stroked="f">
                <v:textbox>
                  <w:txbxContent>
                    <w:p w14:paraId="286D58CA" w14:textId="77777777" w:rsidR="004226AB" w:rsidRPr="00D8676B" w:rsidRDefault="004226AB" w:rsidP="006F2963">
                      <w:pPr>
                        <w:pStyle w:val="Footer"/>
                      </w:pPr>
                      <w:r w:rsidRPr="00D8676B"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395FCA">
                        <w:rPr>
                          <w:noProof/>
                        </w:rPr>
                        <w:t>4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5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type="topAndBottom" anchorx="page" anchory="lin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4A614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A51BA" w14:textId="77777777" w:rsidR="00C420F6" w:rsidRDefault="00C420F6" w:rsidP="003E2D16">
      <w:pPr>
        <w:spacing w:after="0" w:line="240" w:lineRule="auto"/>
      </w:pPr>
      <w:r>
        <w:separator/>
      </w:r>
    </w:p>
  </w:footnote>
  <w:footnote w:type="continuationSeparator" w:id="0">
    <w:p w14:paraId="27F76733" w14:textId="77777777" w:rsidR="00C420F6" w:rsidRDefault="00C420F6" w:rsidP="003E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38010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7CC5B" w14:textId="377E5AAB" w:rsidR="004226AB" w:rsidRDefault="009A416F" w:rsidP="0040699E">
    <w:pPr>
      <w:tabs>
        <w:tab w:val="left" w:pos="5492"/>
      </w:tabs>
      <w:autoSpaceDE w:val="0"/>
      <w:autoSpaceDN w:val="0"/>
      <w:adjustRightInd w:val="0"/>
      <w:spacing w:after="0" w:line="240" w:lineRule="auto"/>
      <w:rPr>
        <w:rFonts w:ascii="TTE43B6098t00" w:hAnsi="TTE43B6098t00" w:cs="TTE43B6098t00"/>
        <w:color w:val="1F497D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2D6B1554" wp14:editId="001E151B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92480" cy="722630"/>
          <wp:effectExtent l="0" t="0" r="0" b="0"/>
          <wp:wrapTopAndBottom/>
          <wp:docPr id="6" name="Picture 6" descr="http://portal.haad.ae/Logos/DOH-CMYK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rtal.haad.ae/Logos/DOH-CMYK-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99E">
      <w:rPr>
        <w:rFonts w:ascii="TTE43B6098t00" w:hAnsi="TTE43B6098t00" w:cs="TTE43B6098t00"/>
        <w:color w:val="1F497D"/>
        <w:sz w:val="18"/>
        <w:szCs w:val="18"/>
      </w:rPr>
      <w:tab/>
    </w:r>
  </w:p>
  <w:p w14:paraId="1E478D70" w14:textId="77777777" w:rsidR="0040699E" w:rsidRPr="00285DD9" w:rsidRDefault="0040699E" w:rsidP="0040699E">
    <w:pPr>
      <w:tabs>
        <w:tab w:val="left" w:pos="5492"/>
      </w:tabs>
      <w:autoSpaceDE w:val="0"/>
      <w:autoSpaceDN w:val="0"/>
      <w:adjustRightInd w:val="0"/>
      <w:spacing w:after="0" w:line="240" w:lineRule="auto"/>
      <w:rPr>
        <w:rFonts w:ascii="TTE43B6098t00" w:hAnsi="TTE43B6098t00" w:cs="TTE43B6098t00"/>
        <w:color w:val="1F497D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FF12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98973FF"/>
    <w:multiLevelType w:val="hybridMultilevel"/>
    <w:tmpl w:val="A02E798C"/>
    <w:lvl w:ilvl="0" w:tplc="F216B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EBB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D6F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2F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0C0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CE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68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1C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62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1C0F"/>
    <w:multiLevelType w:val="hybridMultilevel"/>
    <w:tmpl w:val="6156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5610"/>
    <w:multiLevelType w:val="hybridMultilevel"/>
    <w:tmpl w:val="CD4C9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15454"/>
    <w:multiLevelType w:val="hybridMultilevel"/>
    <w:tmpl w:val="552010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B122BB0"/>
    <w:multiLevelType w:val="hybridMultilevel"/>
    <w:tmpl w:val="DB7491D0"/>
    <w:lvl w:ilvl="0" w:tplc="55506846">
      <w:start w:val="1"/>
      <w:numFmt w:val="decimal"/>
      <w:lvlText w:val="%1."/>
      <w:lvlJc w:val="left"/>
      <w:pPr>
        <w:ind w:left="483" w:hanging="405"/>
      </w:pPr>
      <w:rPr>
        <w:rFonts w:hint="default"/>
        <w:b/>
        <w:sz w:val="20"/>
        <w:szCs w:val="20"/>
      </w:rPr>
    </w:lvl>
    <w:lvl w:ilvl="1" w:tplc="390E47B8" w:tentative="1">
      <w:start w:val="1"/>
      <w:numFmt w:val="lowerLetter"/>
      <w:lvlText w:val="%2."/>
      <w:lvlJc w:val="left"/>
      <w:pPr>
        <w:ind w:left="1158" w:hanging="360"/>
      </w:pPr>
    </w:lvl>
    <w:lvl w:ilvl="2" w:tplc="CA7EBD8E" w:tentative="1">
      <w:start w:val="1"/>
      <w:numFmt w:val="lowerRoman"/>
      <w:lvlText w:val="%3."/>
      <w:lvlJc w:val="right"/>
      <w:pPr>
        <w:ind w:left="1878" w:hanging="180"/>
      </w:pPr>
    </w:lvl>
    <w:lvl w:ilvl="3" w:tplc="654A3066" w:tentative="1">
      <w:start w:val="1"/>
      <w:numFmt w:val="decimal"/>
      <w:lvlText w:val="%4."/>
      <w:lvlJc w:val="left"/>
      <w:pPr>
        <w:ind w:left="2598" w:hanging="360"/>
      </w:pPr>
    </w:lvl>
    <w:lvl w:ilvl="4" w:tplc="11EE329A" w:tentative="1">
      <w:start w:val="1"/>
      <w:numFmt w:val="lowerLetter"/>
      <w:lvlText w:val="%5."/>
      <w:lvlJc w:val="left"/>
      <w:pPr>
        <w:ind w:left="3318" w:hanging="360"/>
      </w:pPr>
    </w:lvl>
    <w:lvl w:ilvl="5" w:tplc="9A5C42A0" w:tentative="1">
      <w:start w:val="1"/>
      <w:numFmt w:val="lowerRoman"/>
      <w:lvlText w:val="%6."/>
      <w:lvlJc w:val="right"/>
      <w:pPr>
        <w:ind w:left="4038" w:hanging="180"/>
      </w:pPr>
    </w:lvl>
    <w:lvl w:ilvl="6" w:tplc="4790B3C0" w:tentative="1">
      <w:start w:val="1"/>
      <w:numFmt w:val="decimal"/>
      <w:lvlText w:val="%7."/>
      <w:lvlJc w:val="left"/>
      <w:pPr>
        <w:ind w:left="4758" w:hanging="360"/>
      </w:pPr>
    </w:lvl>
    <w:lvl w:ilvl="7" w:tplc="718C7DDA" w:tentative="1">
      <w:start w:val="1"/>
      <w:numFmt w:val="lowerLetter"/>
      <w:lvlText w:val="%8."/>
      <w:lvlJc w:val="left"/>
      <w:pPr>
        <w:ind w:left="5478" w:hanging="360"/>
      </w:pPr>
    </w:lvl>
    <w:lvl w:ilvl="8" w:tplc="9118E1E2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6" w15:restartNumberingAfterBreak="0">
    <w:nsid w:val="5A607064"/>
    <w:multiLevelType w:val="hybridMultilevel"/>
    <w:tmpl w:val="DEA6498E"/>
    <w:lvl w:ilvl="0" w:tplc="486A7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23C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363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6A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2E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EC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A7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A85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66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D26BA"/>
    <w:multiLevelType w:val="hybridMultilevel"/>
    <w:tmpl w:val="FF5882D4"/>
    <w:lvl w:ilvl="0" w:tplc="000AE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77B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F512EA"/>
    <w:multiLevelType w:val="multilevel"/>
    <w:tmpl w:val="208AA34C"/>
    <w:name w:val="WW8Num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F8C2A1F"/>
    <w:multiLevelType w:val="hybridMultilevel"/>
    <w:tmpl w:val="69BA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70FA3"/>
    <w:multiLevelType w:val="hybridMultilevel"/>
    <w:tmpl w:val="322C3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D3A47"/>
    <w:multiLevelType w:val="hybridMultilevel"/>
    <w:tmpl w:val="9D2872AC"/>
    <w:lvl w:ilvl="0" w:tplc="5300AB4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19D43B8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86A1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F043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52146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5488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26EB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0C3AA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2C2F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BC1C00"/>
    <w:multiLevelType w:val="multilevel"/>
    <w:tmpl w:val="78168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284BC5"/>
    <w:multiLevelType w:val="hybridMultilevel"/>
    <w:tmpl w:val="BCA0C5AA"/>
    <w:lvl w:ilvl="0" w:tplc="C284D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087588">
      <w:start w:val="1"/>
      <w:numFmt w:val="lowerLetter"/>
      <w:lvlText w:val="%2."/>
      <w:lvlJc w:val="left"/>
      <w:pPr>
        <w:ind w:left="1440" w:hanging="360"/>
      </w:pPr>
    </w:lvl>
    <w:lvl w:ilvl="2" w:tplc="63926B0C" w:tentative="1">
      <w:start w:val="1"/>
      <w:numFmt w:val="lowerRoman"/>
      <w:lvlText w:val="%3."/>
      <w:lvlJc w:val="right"/>
      <w:pPr>
        <w:ind w:left="2160" w:hanging="180"/>
      </w:pPr>
    </w:lvl>
    <w:lvl w:ilvl="3" w:tplc="44062562" w:tentative="1">
      <w:start w:val="1"/>
      <w:numFmt w:val="decimal"/>
      <w:lvlText w:val="%4."/>
      <w:lvlJc w:val="left"/>
      <w:pPr>
        <w:ind w:left="2880" w:hanging="360"/>
      </w:pPr>
    </w:lvl>
    <w:lvl w:ilvl="4" w:tplc="76A8713C" w:tentative="1">
      <w:start w:val="1"/>
      <w:numFmt w:val="lowerLetter"/>
      <w:lvlText w:val="%5."/>
      <w:lvlJc w:val="left"/>
      <w:pPr>
        <w:ind w:left="3600" w:hanging="360"/>
      </w:pPr>
    </w:lvl>
    <w:lvl w:ilvl="5" w:tplc="80F24458" w:tentative="1">
      <w:start w:val="1"/>
      <w:numFmt w:val="lowerRoman"/>
      <w:lvlText w:val="%6."/>
      <w:lvlJc w:val="right"/>
      <w:pPr>
        <w:ind w:left="4320" w:hanging="180"/>
      </w:pPr>
    </w:lvl>
    <w:lvl w:ilvl="6" w:tplc="489287D0" w:tentative="1">
      <w:start w:val="1"/>
      <w:numFmt w:val="decimal"/>
      <w:lvlText w:val="%7."/>
      <w:lvlJc w:val="left"/>
      <w:pPr>
        <w:ind w:left="5040" w:hanging="360"/>
      </w:pPr>
    </w:lvl>
    <w:lvl w:ilvl="7" w:tplc="B7C20D9E" w:tentative="1">
      <w:start w:val="1"/>
      <w:numFmt w:val="lowerLetter"/>
      <w:lvlText w:val="%8."/>
      <w:lvlJc w:val="left"/>
      <w:pPr>
        <w:ind w:left="5760" w:hanging="360"/>
      </w:pPr>
    </w:lvl>
    <w:lvl w:ilvl="8" w:tplc="C71884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2"/>
  </w:num>
  <w:num w:numId="5">
    <w:abstractNumId w:val="1"/>
  </w:num>
  <w:num w:numId="6">
    <w:abstractNumId w:val="5"/>
  </w:num>
  <w:num w:numId="7">
    <w:abstractNumId w:val="14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3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0"/>
  <w:defaultTabStop w:val="720"/>
  <w:drawingGridHorizontalSpacing w:val="108"/>
  <w:drawingGridVerticalSpacing w:val="181"/>
  <w:displayHorizontalDrawingGridEvery w:val="30"/>
  <w:displayVerticalDrawingGridEvery w:val="3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2A"/>
    <w:rsid w:val="000014E4"/>
    <w:rsid w:val="00002DD4"/>
    <w:rsid w:val="0000490C"/>
    <w:rsid w:val="000050D2"/>
    <w:rsid w:val="000051C6"/>
    <w:rsid w:val="00005FB1"/>
    <w:rsid w:val="00006113"/>
    <w:rsid w:val="00006A7F"/>
    <w:rsid w:val="00007A21"/>
    <w:rsid w:val="000102ED"/>
    <w:rsid w:val="0001091C"/>
    <w:rsid w:val="00011467"/>
    <w:rsid w:val="00012AB5"/>
    <w:rsid w:val="00012CC9"/>
    <w:rsid w:val="000158BA"/>
    <w:rsid w:val="00016C3F"/>
    <w:rsid w:val="00016EE1"/>
    <w:rsid w:val="00016F4A"/>
    <w:rsid w:val="000204C0"/>
    <w:rsid w:val="0002090C"/>
    <w:rsid w:val="00021D6B"/>
    <w:rsid w:val="000223D9"/>
    <w:rsid w:val="00024A08"/>
    <w:rsid w:val="000275FA"/>
    <w:rsid w:val="00030067"/>
    <w:rsid w:val="000304F3"/>
    <w:rsid w:val="00031B0F"/>
    <w:rsid w:val="0003460A"/>
    <w:rsid w:val="000346C8"/>
    <w:rsid w:val="00035377"/>
    <w:rsid w:val="000370BD"/>
    <w:rsid w:val="0003781B"/>
    <w:rsid w:val="00037D65"/>
    <w:rsid w:val="000407DF"/>
    <w:rsid w:val="0004211E"/>
    <w:rsid w:val="00042B09"/>
    <w:rsid w:val="000443D4"/>
    <w:rsid w:val="00050E00"/>
    <w:rsid w:val="000536C1"/>
    <w:rsid w:val="00055866"/>
    <w:rsid w:val="0005638B"/>
    <w:rsid w:val="00057218"/>
    <w:rsid w:val="000617A2"/>
    <w:rsid w:val="00061E08"/>
    <w:rsid w:val="00062725"/>
    <w:rsid w:val="00062776"/>
    <w:rsid w:val="00065002"/>
    <w:rsid w:val="00065C4F"/>
    <w:rsid w:val="0006747E"/>
    <w:rsid w:val="0006777B"/>
    <w:rsid w:val="00071B60"/>
    <w:rsid w:val="00071E69"/>
    <w:rsid w:val="000729FC"/>
    <w:rsid w:val="000746A2"/>
    <w:rsid w:val="000754E8"/>
    <w:rsid w:val="00076FC5"/>
    <w:rsid w:val="000803D0"/>
    <w:rsid w:val="00080B95"/>
    <w:rsid w:val="00081D62"/>
    <w:rsid w:val="0008232E"/>
    <w:rsid w:val="00082E31"/>
    <w:rsid w:val="00086477"/>
    <w:rsid w:val="00086C8E"/>
    <w:rsid w:val="000914B9"/>
    <w:rsid w:val="00094C4A"/>
    <w:rsid w:val="00095A29"/>
    <w:rsid w:val="000976C1"/>
    <w:rsid w:val="00097D08"/>
    <w:rsid w:val="000A1CBC"/>
    <w:rsid w:val="000A6A09"/>
    <w:rsid w:val="000A6E74"/>
    <w:rsid w:val="000B13E3"/>
    <w:rsid w:val="000B4590"/>
    <w:rsid w:val="000B4675"/>
    <w:rsid w:val="000B74D1"/>
    <w:rsid w:val="000C0E9F"/>
    <w:rsid w:val="000C1026"/>
    <w:rsid w:val="000C1D96"/>
    <w:rsid w:val="000C4304"/>
    <w:rsid w:val="000C77FF"/>
    <w:rsid w:val="000D347E"/>
    <w:rsid w:val="000D5BDB"/>
    <w:rsid w:val="000D691A"/>
    <w:rsid w:val="000D7F09"/>
    <w:rsid w:val="000E224B"/>
    <w:rsid w:val="000E246F"/>
    <w:rsid w:val="000E2A39"/>
    <w:rsid w:val="000E42AA"/>
    <w:rsid w:val="000E4B7A"/>
    <w:rsid w:val="000E569F"/>
    <w:rsid w:val="000E5D11"/>
    <w:rsid w:val="000E673F"/>
    <w:rsid w:val="000E68B4"/>
    <w:rsid w:val="000F328C"/>
    <w:rsid w:val="000F73EC"/>
    <w:rsid w:val="000F748F"/>
    <w:rsid w:val="000F7FED"/>
    <w:rsid w:val="00100B9E"/>
    <w:rsid w:val="0010188E"/>
    <w:rsid w:val="0010208E"/>
    <w:rsid w:val="001023F8"/>
    <w:rsid w:val="0010413D"/>
    <w:rsid w:val="00105B99"/>
    <w:rsid w:val="00106E45"/>
    <w:rsid w:val="00107837"/>
    <w:rsid w:val="001132D9"/>
    <w:rsid w:val="001146D4"/>
    <w:rsid w:val="00114B9A"/>
    <w:rsid w:val="00115E9C"/>
    <w:rsid w:val="0011685C"/>
    <w:rsid w:val="00116D57"/>
    <w:rsid w:val="0012294B"/>
    <w:rsid w:val="00123BD6"/>
    <w:rsid w:val="00126CC6"/>
    <w:rsid w:val="001315C8"/>
    <w:rsid w:val="00132934"/>
    <w:rsid w:val="00132B73"/>
    <w:rsid w:val="00135A3C"/>
    <w:rsid w:val="00135F7C"/>
    <w:rsid w:val="001368A8"/>
    <w:rsid w:val="0013721B"/>
    <w:rsid w:val="001400E3"/>
    <w:rsid w:val="001424CD"/>
    <w:rsid w:val="001431DD"/>
    <w:rsid w:val="00143C04"/>
    <w:rsid w:val="001450F8"/>
    <w:rsid w:val="00145370"/>
    <w:rsid w:val="001517B0"/>
    <w:rsid w:val="00151F53"/>
    <w:rsid w:val="00152D69"/>
    <w:rsid w:val="001540BC"/>
    <w:rsid w:val="0015560D"/>
    <w:rsid w:val="0015573F"/>
    <w:rsid w:val="00157C25"/>
    <w:rsid w:val="0016279F"/>
    <w:rsid w:val="00163C93"/>
    <w:rsid w:val="00165390"/>
    <w:rsid w:val="001678E6"/>
    <w:rsid w:val="0017127A"/>
    <w:rsid w:val="00173B10"/>
    <w:rsid w:val="00176925"/>
    <w:rsid w:val="0018045C"/>
    <w:rsid w:val="001824D4"/>
    <w:rsid w:val="001826A3"/>
    <w:rsid w:val="001831D9"/>
    <w:rsid w:val="00185A47"/>
    <w:rsid w:val="001951C6"/>
    <w:rsid w:val="001A2C54"/>
    <w:rsid w:val="001A33DB"/>
    <w:rsid w:val="001A49E1"/>
    <w:rsid w:val="001A4A50"/>
    <w:rsid w:val="001A63D2"/>
    <w:rsid w:val="001A68D9"/>
    <w:rsid w:val="001A7B2D"/>
    <w:rsid w:val="001B4A7D"/>
    <w:rsid w:val="001B6530"/>
    <w:rsid w:val="001B7742"/>
    <w:rsid w:val="001B782D"/>
    <w:rsid w:val="001C09DF"/>
    <w:rsid w:val="001C0D4C"/>
    <w:rsid w:val="001C0F9A"/>
    <w:rsid w:val="001C3678"/>
    <w:rsid w:val="001C3909"/>
    <w:rsid w:val="001C4C1F"/>
    <w:rsid w:val="001C7EB8"/>
    <w:rsid w:val="001D0E64"/>
    <w:rsid w:val="001D0F28"/>
    <w:rsid w:val="001D34AC"/>
    <w:rsid w:val="001D3CC4"/>
    <w:rsid w:val="001D4C45"/>
    <w:rsid w:val="001D595E"/>
    <w:rsid w:val="001D66AA"/>
    <w:rsid w:val="001D6FE4"/>
    <w:rsid w:val="001D6FF7"/>
    <w:rsid w:val="001D74F9"/>
    <w:rsid w:val="001E2A63"/>
    <w:rsid w:val="001E4D36"/>
    <w:rsid w:val="001E518B"/>
    <w:rsid w:val="001E5E55"/>
    <w:rsid w:val="001E7566"/>
    <w:rsid w:val="001F15EA"/>
    <w:rsid w:val="001F1BE3"/>
    <w:rsid w:val="001F368C"/>
    <w:rsid w:val="001F3A55"/>
    <w:rsid w:val="00201871"/>
    <w:rsid w:val="00202BA1"/>
    <w:rsid w:val="002047A1"/>
    <w:rsid w:val="0020660C"/>
    <w:rsid w:val="00211117"/>
    <w:rsid w:val="002113FB"/>
    <w:rsid w:val="00213EDB"/>
    <w:rsid w:val="00215205"/>
    <w:rsid w:val="00216AC2"/>
    <w:rsid w:val="002218D5"/>
    <w:rsid w:val="00225E1C"/>
    <w:rsid w:val="00226B09"/>
    <w:rsid w:val="002309B0"/>
    <w:rsid w:val="00232215"/>
    <w:rsid w:val="00232721"/>
    <w:rsid w:val="00233ED4"/>
    <w:rsid w:val="00237898"/>
    <w:rsid w:val="0024058D"/>
    <w:rsid w:val="0024066A"/>
    <w:rsid w:val="00240A64"/>
    <w:rsid w:val="00241C56"/>
    <w:rsid w:val="002438BB"/>
    <w:rsid w:val="00243A57"/>
    <w:rsid w:val="0025049D"/>
    <w:rsid w:val="00251DC1"/>
    <w:rsid w:val="00254C14"/>
    <w:rsid w:val="002611CA"/>
    <w:rsid w:val="002621F4"/>
    <w:rsid w:val="0026742B"/>
    <w:rsid w:val="00267A1B"/>
    <w:rsid w:val="00270D27"/>
    <w:rsid w:val="002715E2"/>
    <w:rsid w:val="002745CD"/>
    <w:rsid w:val="00274627"/>
    <w:rsid w:val="002747D1"/>
    <w:rsid w:val="002807AC"/>
    <w:rsid w:val="00280CDD"/>
    <w:rsid w:val="00284848"/>
    <w:rsid w:val="00285DD9"/>
    <w:rsid w:val="00286D2C"/>
    <w:rsid w:val="00291177"/>
    <w:rsid w:val="002933DC"/>
    <w:rsid w:val="00293899"/>
    <w:rsid w:val="0029405A"/>
    <w:rsid w:val="00296B63"/>
    <w:rsid w:val="00297054"/>
    <w:rsid w:val="002A1A31"/>
    <w:rsid w:val="002A48CC"/>
    <w:rsid w:val="002A5863"/>
    <w:rsid w:val="002A70CA"/>
    <w:rsid w:val="002A7748"/>
    <w:rsid w:val="002B1D2D"/>
    <w:rsid w:val="002B24F7"/>
    <w:rsid w:val="002B477E"/>
    <w:rsid w:val="002B49E7"/>
    <w:rsid w:val="002B4B67"/>
    <w:rsid w:val="002C0043"/>
    <w:rsid w:val="002C264E"/>
    <w:rsid w:val="002C2DF9"/>
    <w:rsid w:val="002C3930"/>
    <w:rsid w:val="002C45C9"/>
    <w:rsid w:val="002C7D12"/>
    <w:rsid w:val="002C7EDF"/>
    <w:rsid w:val="002D253A"/>
    <w:rsid w:val="002D6273"/>
    <w:rsid w:val="002D6B43"/>
    <w:rsid w:val="002D77C2"/>
    <w:rsid w:val="002E16B3"/>
    <w:rsid w:val="002E6105"/>
    <w:rsid w:val="002F0164"/>
    <w:rsid w:val="002F0544"/>
    <w:rsid w:val="002F0654"/>
    <w:rsid w:val="002F16B5"/>
    <w:rsid w:val="002F209C"/>
    <w:rsid w:val="002F30D3"/>
    <w:rsid w:val="002F45FE"/>
    <w:rsid w:val="002F5086"/>
    <w:rsid w:val="002F5129"/>
    <w:rsid w:val="002F7135"/>
    <w:rsid w:val="002F7DB1"/>
    <w:rsid w:val="003009BC"/>
    <w:rsid w:val="0030197A"/>
    <w:rsid w:val="003039DB"/>
    <w:rsid w:val="00306194"/>
    <w:rsid w:val="00306711"/>
    <w:rsid w:val="003106B6"/>
    <w:rsid w:val="0031142C"/>
    <w:rsid w:val="0031155A"/>
    <w:rsid w:val="003136DE"/>
    <w:rsid w:val="0032185A"/>
    <w:rsid w:val="00322841"/>
    <w:rsid w:val="00322FB7"/>
    <w:rsid w:val="00322FDB"/>
    <w:rsid w:val="00325D46"/>
    <w:rsid w:val="00330600"/>
    <w:rsid w:val="00331FBD"/>
    <w:rsid w:val="00333A43"/>
    <w:rsid w:val="00334556"/>
    <w:rsid w:val="003438CF"/>
    <w:rsid w:val="00343FBA"/>
    <w:rsid w:val="003440B6"/>
    <w:rsid w:val="003462F8"/>
    <w:rsid w:val="00346B89"/>
    <w:rsid w:val="0034732D"/>
    <w:rsid w:val="00351025"/>
    <w:rsid w:val="00351937"/>
    <w:rsid w:val="00352ECE"/>
    <w:rsid w:val="00357B8E"/>
    <w:rsid w:val="003631F3"/>
    <w:rsid w:val="0036439A"/>
    <w:rsid w:val="00366F34"/>
    <w:rsid w:val="00366FCD"/>
    <w:rsid w:val="00370CFF"/>
    <w:rsid w:val="00371A4B"/>
    <w:rsid w:val="003760FE"/>
    <w:rsid w:val="0037683F"/>
    <w:rsid w:val="00381AF6"/>
    <w:rsid w:val="00384F0E"/>
    <w:rsid w:val="003867A0"/>
    <w:rsid w:val="00386AED"/>
    <w:rsid w:val="00395FCA"/>
    <w:rsid w:val="003960C6"/>
    <w:rsid w:val="0039613F"/>
    <w:rsid w:val="0039618C"/>
    <w:rsid w:val="003A1771"/>
    <w:rsid w:val="003A2656"/>
    <w:rsid w:val="003A2A1E"/>
    <w:rsid w:val="003A4B61"/>
    <w:rsid w:val="003A5168"/>
    <w:rsid w:val="003B16B6"/>
    <w:rsid w:val="003B4A50"/>
    <w:rsid w:val="003B6243"/>
    <w:rsid w:val="003B6841"/>
    <w:rsid w:val="003B7C0D"/>
    <w:rsid w:val="003C0085"/>
    <w:rsid w:val="003C0D73"/>
    <w:rsid w:val="003C29A9"/>
    <w:rsid w:val="003C4DD8"/>
    <w:rsid w:val="003C7E31"/>
    <w:rsid w:val="003C7F19"/>
    <w:rsid w:val="003D095B"/>
    <w:rsid w:val="003D4446"/>
    <w:rsid w:val="003D6561"/>
    <w:rsid w:val="003D7083"/>
    <w:rsid w:val="003D77B4"/>
    <w:rsid w:val="003E265F"/>
    <w:rsid w:val="003E27B2"/>
    <w:rsid w:val="003E2D16"/>
    <w:rsid w:val="003E3B0D"/>
    <w:rsid w:val="003E546D"/>
    <w:rsid w:val="003E574F"/>
    <w:rsid w:val="003E77F1"/>
    <w:rsid w:val="003F06D4"/>
    <w:rsid w:val="003F5BD9"/>
    <w:rsid w:val="003F6E75"/>
    <w:rsid w:val="003F6F8E"/>
    <w:rsid w:val="003F77F8"/>
    <w:rsid w:val="004001E2"/>
    <w:rsid w:val="0040097A"/>
    <w:rsid w:val="0040167F"/>
    <w:rsid w:val="004022A5"/>
    <w:rsid w:val="00402B3B"/>
    <w:rsid w:val="00402F35"/>
    <w:rsid w:val="004040F6"/>
    <w:rsid w:val="00404719"/>
    <w:rsid w:val="0040491B"/>
    <w:rsid w:val="00405086"/>
    <w:rsid w:val="00405B80"/>
    <w:rsid w:val="0040699E"/>
    <w:rsid w:val="00413B87"/>
    <w:rsid w:val="00415182"/>
    <w:rsid w:val="00415BC2"/>
    <w:rsid w:val="00415DF2"/>
    <w:rsid w:val="004226AB"/>
    <w:rsid w:val="00424190"/>
    <w:rsid w:val="004301AF"/>
    <w:rsid w:val="0043061E"/>
    <w:rsid w:val="004308C0"/>
    <w:rsid w:val="0043124F"/>
    <w:rsid w:val="0043367F"/>
    <w:rsid w:val="00435C7A"/>
    <w:rsid w:val="00435E4A"/>
    <w:rsid w:val="00437630"/>
    <w:rsid w:val="0044206F"/>
    <w:rsid w:val="00443AE5"/>
    <w:rsid w:val="00443D2A"/>
    <w:rsid w:val="004455A4"/>
    <w:rsid w:val="00445D03"/>
    <w:rsid w:val="00447513"/>
    <w:rsid w:val="00455197"/>
    <w:rsid w:val="00455D38"/>
    <w:rsid w:val="0045660F"/>
    <w:rsid w:val="004574D5"/>
    <w:rsid w:val="004576F7"/>
    <w:rsid w:val="00460570"/>
    <w:rsid w:val="00460E19"/>
    <w:rsid w:val="0046118D"/>
    <w:rsid w:val="004638F2"/>
    <w:rsid w:val="00464406"/>
    <w:rsid w:val="00464E28"/>
    <w:rsid w:val="0046615D"/>
    <w:rsid w:val="00466502"/>
    <w:rsid w:val="0046714E"/>
    <w:rsid w:val="00467422"/>
    <w:rsid w:val="00471BC1"/>
    <w:rsid w:val="00472037"/>
    <w:rsid w:val="00480180"/>
    <w:rsid w:val="00480393"/>
    <w:rsid w:val="00480B62"/>
    <w:rsid w:val="00482812"/>
    <w:rsid w:val="004864F7"/>
    <w:rsid w:val="00487FDA"/>
    <w:rsid w:val="004932E4"/>
    <w:rsid w:val="00493961"/>
    <w:rsid w:val="00495073"/>
    <w:rsid w:val="0049633E"/>
    <w:rsid w:val="00496DF7"/>
    <w:rsid w:val="00496E9C"/>
    <w:rsid w:val="004A1092"/>
    <w:rsid w:val="004A1F7F"/>
    <w:rsid w:val="004A4D88"/>
    <w:rsid w:val="004A6C00"/>
    <w:rsid w:val="004A7E13"/>
    <w:rsid w:val="004B17A3"/>
    <w:rsid w:val="004B4527"/>
    <w:rsid w:val="004B589D"/>
    <w:rsid w:val="004B5D39"/>
    <w:rsid w:val="004B7459"/>
    <w:rsid w:val="004C07F4"/>
    <w:rsid w:val="004C2BC4"/>
    <w:rsid w:val="004C3DE7"/>
    <w:rsid w:val="004C7706"/>
    <w:rsid w:val="004D0EBD"/>
    <w:rsid w:val="004D11EC"/>
    <w:rsid w:val="004D4F24"/>
    <w:rsid w:val="004D5673"/>
    <w:rsid w:val="004D6390"/>
    <w:rsid w:val="004D6932"/>
    <w:rsid w:val="004D7847"/>
    <w:rsid w:val="004E23C0"/>
    <w:rsid w:val="004E2FC9"/>
    <w:rsid w:val="004E5AC4"/>
    <w:rsid w:val="004E6069"/>
    <w:rsid w:val="004E69AD"/>
    <w:rsid w:val="004E71DC"/>
    <w:rsid w:val="004E7AF7"/>
    <w:rsid w:val="004F09EA"/>
    <w:rsid w:val="004F0D0F"/>
    <w:rsid w:val="004F10D4"/>
    <w:rsid w:val="004F454B"/>
    <w:rsid w:val="005009C0"/>
    <w:rsid w:val="0050171F"/>
    <w:rsid w:val="00503DAB"/>
    <w:rsid w:val="00506A2D"/>
    <w:rsid w:val="00506A9F"/>
    <w:rsid w:val="00507384"/>
    <w:rsid w:val="0050773D"/>
    <w:rsid w:val="00510CEA"/>
    <w:rsid w:val="00510F66"/>
    <w:rsid w:val="00511147"/>
    <w:rsid w:val="0051229C"/>
    <w:rsid w:val="00513315"/>
    <w:rsid w:val="00514230"/>
    <w:rsid w:val="0051461A"/>
    <w:rsid w:val="00514BED"/>
    <w:rsid w:val="005153F3"/>
    <w:rsid w:val="005228F7"/>
    <w:rsid w:val="00523393"/>
    <w:rsid w:val="005240B4"/>
    <w:rsid w:val="0052694D"/>
    <w:rsid w:val="00530C8D"/>
    <w:rsid w:val="005336C0"/>
    <w:rsid w:val="005348E3"/>
    <w:rsid w:val="00534931"/>
    <w:rsid w:val="005356FC"/>
    <w:rsid w:val="00535A7F"/>
    <w:rsid w:val="00535D67"/>
    <w:rsid w:val="0053605E"/>
    <w:rsid w:val="00541C9A"/>
    <w:rsid w:val="00542575"/>
    <w:rsid w:val="00542F31"/>
    <w:rsid w:val="005442D4"/>
    <w:rsid w:val="00545F1E"/>
    <w:rsid w:val="0054605A"/>
    <w:rsid w:val="00550478"/>
    <w:rsid w:val="0055210E"/>
    <w:rsid w:val="00552FB7"/>
    <w:rsid w:val="005532AF"/>
    <w:rsid w:val="0055370F"/>
    <w:rsid w:val="0055378D"/>
    <w:rsid w:val="00555214"/>
    <w:rsid w:val="00560659"/>
    <w:rsid w:val="005613E9"/>
    <w:rsid w:val="005622A8"/>
    <w:rsid w:val="00563215"/>
    <w:rsid w:val="005637EE"/>
    <w:rsid w:val="00564C58"/>
    <w:rsid w:val="0057074E"/>
    <w:rsid w:val="00572052"/>
    <w:rsid w:val="005720AA"/>
    <w:rsid w:val="005728FE"/>
    <w:rsid w:val="005739B6"/>
    <w:rsid w:val="00573DB8"/>
    <w:rsid w:val="00574561"/>
    <w:rsid w:val="00574A70"/>
    <w:rsid w:val="00574DEF"/>
    <w:rsid w:val="00577971"/>
    <w:rsid w:val="00581D58"/>
    <w:rsid w:val="005826DF"/>
    <w:rsid w:val="00583393"/>
    <w:rsid w:val="00584D35"/>
    <w:rsid w:val="005902D1"/>
    <w:rsid w:val="00593879"/>
    <w:rsid w:val="00594AB6"/>
    <w:rsid w:val="00595160"/>
    <w:rsid w:val="00596BE0"/>
    <w:rsid w:val="005A0B14"/>
    <w:rsid w:val="005A1A25"/>
    <w:rsid w:val="005A344E"/>
    <w:rsid w:val="005B1F6D"/>
    <w:rsid w:val="005B2E58"/>
    <w:rsid w:val="005B34C5"/>
    <w:rsid w:val="005B37A5"/>
    <w:rsid w:val="005B4659"/>
    <w:rsid w:val="005B4841"/>
    <w:rsid w:val="005C3721"/>
    <w:rsid w:val="005C4881"/>
    <w:rsid w:val="005C6D56"/>
    <w:rsid w:val="005D09CD"/>
    <w:rsid w:val="005D0DB8"/>
    <w:rsid w:val="005D15D8"/>
    <w:rsid w:val="005D5E22"/>
    <w:rsid w:val="005D5E7B"/>
    <w:rsid w:val="005D68FD"/>
    <w:rsid w:val="005E0D20"/>
    <w:rsid w:val="005E1A08"/>
    <w:rsid w:val="005E1EFF"/>
    <w:rsid w:val="005E464A"/>
    <w:rsid w:val="005E6699"/>
    <w:rsid w:val="005E7406"/>
    <w:rsid w:val="005F00CF"/>
    <w:rsid w:val="005F51D0"/>
    <w:rsid w:val="005F7218"/>
    <w:rsid w:val="00601550"/>
    <w:rsid w:val="0060163E"/>
    <w:rsid w:val="00601CE7"/>
    <w:rsid w:val="00605630"/>
    <w:rsid w:val="00605B00"/>
    <w:rsid w:val="00606453"/>
    <w:rsid w:val="006067C8"/>
    <w:rsid w:val="00606E65"/>
    <w:rsid w:val="00612ACB"/>
    <w:rsid w:val="00614551"/>
    <w:rsid w:val="00624D94"/>
    <w:rsid w:val="00625107"/>
    <w:rsid w:val="00630029"/>
    <w:rsid w:val="00632A35"/>
    <w:rsid w:val="00635B96"/>
    <w:rsid w:val="006369AE"/>
    <w:rsid w:val="00637F86"/>
    <w:rsid w:val="006401B9"/>
    <w:rsid w:val="006409D3"/>
    <w:rsid w:val="0064195F"/>
    <w:rsid w:val="00641F06"/>
    <w:rsid w:val="00642595"/>
    <w:rsid w:val="00644ABC"/>
    <w:rsid w:val="006506A4"/>
    <w:rsid w:val="00652A95"/>
    <w:rsid w:val="00653AB7"/>
    <w:rsid w:val="00654CA7"/>
    <w:rsid w:val="00656213"/>
    <w:rsid w:val="006562EF"/>
    <w:rsid w:val="00656FFA"/>
    <w:rsid w:val="006574CE"/>
    <w:rsid w:val="00657FAF"/>
    <w:rsid w:val="00660527"/>
    <w:rsid w:val="00661C69"/>
    <w:rsid w:val="00662B78"/>
    <w:rsid w:val="006646F2"/>
    <w:rsid w:val="00666023"/>
    <w:rsid w:val="006663D1"/>
    <w:rsid w:val="00667C9C"/>
    <w:rsid w:val="00676530"/>
    <w:rsid w:val="006804CA"/>
    <w:rsid w:val="00680800"/>
    <w:rsid w:val="00680F9C"/>
    <w:rsid w:val="00681529"/>
    <w:rsid w:val="006823A4"/>
    <w:rsid w:val="00683473"/>
    <w:rsid w:val="006866C6"/>
    <w:rsid w:val="00686716"/>
    <w:rsid w:val="00686B26"/>
    <w:rsid w:val="00691249"/>
    <w:rsid w:val="006949CD"/>
    <w:rsid w:val="0069602A"/>
    <w:rsid w:val="006973C1"/>
    <w:rsid w:val="00697699"/>
    <w:rsid w:val="006A1529"/>
    <w:rsid w:val="006A36BA"/>
    <w:rsid w:val="006A55AD"/>
    <w:rsid w:val="006A7668"/>
    <w:rsid w:val="006A7F68"/>
    <w:rsid w:val="006B10E6"/>
    <w:rsid w:val="006B1981"/>
    <w:rsid w:val="006B20C3"/>
    <w:rsid w:val="006B251C"/>
    <w:rsid w:val="006B2530"/>
    <w:rsid w:val="006B4467"/>
    <w:rsid w:val="006B5CB7"/>
    <w:rsid w:val="006B5D55"/>
    <w:rsid w:val="006C1E59"/>
    <w:rsid w:val="006C3527"/>
    <w:rsid w:val="006C5676"/>
    <w:rsid w:val="006D16CE"/>
    <w:rsid w:val="006D193E"/>
    <w:rsid w:val="006D3E5A"/>
    <w:rsid w:val="006D437D"/>
    <w:rsid w:val="006D45E7"/>
    <w:rsid w:val="006D54F0"/>
    <w:rsid w:val="006D77DA"/>
    <w:rsid w:val="006E0E84"/>
    <w:rsid w:val="006E2139"/>
    <w:rsid w:val="006E29F4"/>
    <w:rsid w:val="006E50FB"/>
    <w:rsid w:val="006E5A3A"/>
    <w:rsid w:val="006F2125"/>
    <w:rsid w:val="006F2963"/>
    <w:rsid w:val="006F4A98"/>
    <w:rsid w:val="006F627A"/>
    <w:rsid w:val="006F679A"/>
    <w:rsid w:val="0070100F"/>
    <w:rsid w:val="00704327"/>
    <w:rsid w:val="00704708"/>
    <w:rsid w:val="00705BBA"/>
    <w:rsid w:val="0070703E"/>
    <w:rsid w:val="007074E9"/>
    <w:rsid w:val="007105FA"/>
    <w:rsid w:val="00710F76"/>
    <w:rsid w:val="00711306"/>
    <w:rsid w:val="00712093"/>
    <w:rsid w:val="0071318C"/>
    <w:rsid w:val="0071454D"/>
    <w:rsid w:val="0071468B"/>
    <w:rsid w:val="007209F3"/>
    <w:rsid w:val="00721762"/>
    <w:rsid w:val="00722108"/>
    <w:rsid w:val="00725986"/>
    <w:rsid w:val="00725E28"/>
    <w:rsid w:val="00730D06"/>
    <w:rsid w:val="007312DD"/>
    <w:rsid w:val="00735B51"/>
    <w:rsid w:val="00735F55"/>
    <w:rsid w:val="00740A63"/>
    <w:rsid w:val="007418D3"/>
    <w:rsid w:val="00745414"/>
    <w:rsid w:val="007501B6"/>
    <w:rsid w:val="00750D5C"/>
    <w:rsid w:val="00751431"/>
    <w:rsid w:val="00755979"/>
    <w:rsid w:val="00755A8A"/>
    <w:rsid w:val="00757805"/>
    <w:rsid w:val="007600BB"/>
    <w:rsid w:val="0076690C"/>
    <w:rsid w:val="0076762E"/>
    <w:rsid w:val="007807BD"/>
    <w:rsid w:val="00784200"/>
    <w:rsid w:val="00784B61"/>
    <w:rsid w:val="00785224"/>
    <w:rsid w:val="0078576B"/>
    <w:rsid w:val="00785997"/>
    <w:rsid w:val="0079006D"/>
    <w:rsid w:val="0079088B"/>
    <w:rsid w:val="007912E8"/>
    <w:rsid w:val="00791AA1"/>
    <w:rsid w:val="00791B9A"/>
    <w:rsid w:val="0079538B"/>
    <w:rsid w:val="0079553D"/>
    <w:rsid w:val="007A0797"/>
    <w:rsid w:val="007A1A4D"/>
    <w:rsid w:val="007A3B25"/>
    <w:rsid w:val="007A5DE6"/>
    <w:rsid w:val="007A608B"/>
    <w:rsid w:val="007B3977"/>
    <w:rsid w:val="007B4C9D"/>
    <w:rsid w:val="007B4F9E"/>
    <w:rsid w:val="007B6AE8"/>
    <w:rsid w:val="007C308B"/>
    <w:rsid w:val="007C406E"/>
    <w:rsid w:val="007C5CEE"/>
    <w:rsid w:val="007C60D1"/>
    <w:rsid w:val="007D65F8"/>
    <w:rsid w:val="007E5D6E"/>
    <w:rsid w:val="007F3FE9"/>
    <w:rsid w:val="007F425F"/>
    <w:rsid w:val="007F497E"/>
    <w:rsid w:val="007F6586"/>
    <w:rsid w:val="00803F59"/>
    <w:rsid w:val="00804B51"/>
    <w:rsid w:val="00805D25"/>
    <w:rsid w:val="008060D8"/>
    <w:rsid w:val="00806881"/>
    <w:rsid w:val="00810DF4"/>
    <w:rsid w:val="00812EF0"/>
    <w:rsid w:val="00813F1F"/>
    <w:rsid w:val="0081424D"/>
    <w:rsid w:val="0081522A"/>
    <w:rsid w:val="008164DF"/>
    <w:rsid w:val="00816917"/>
    <w:rsid w:val="00816E7A"/>
    <w:rsid w:val="0081742F"/>
    <w:rsid w:val="00820CE2"/>
    <w:rsid w:val="00821C58"/>
    <w:rsid w:val="0082344C"/>
    <w:rsid w:val="00824664"/>
    <w:rsid w:val="00825856"/>
    <w:rsid w:val="0082658B"/>
    <w:rsid w:val="0083092C"/>
    <w:rsid w:val="00832E63"/>
    <w:rsid w:val="008338FF"/>
    <w:rsid w:val="008351C7"/>
    <w:rsid w:val="00835BDF"/>
    <w:rsid w:val="00837AA3"/>
    <w:rsid w:val="008409FB"/>
    <w:rsid w:val="00844226"/>
    <w:rsid w:val="00846292"/>
    <w:rsid w:val="0084761A"/>
    <w:rsid w:val="00850FC1"/>
    <w:rsid w:val="00852FEA"/>
    <w:rsid w:val="00853766"/>
    <w:rsid w:val="00856309"/>
    <w:rsid w:val="0085654C"/>
    <w:rsid w:val="0085666A"/>
    <w:rsid w:val="00856FF4"/>
    <w:rsid w:val="0086510C"/>
    <w:rsid w:val="00865571"/>
    <w:rsid w:val="008657D1"/>
    <w:rsid w:val="00866EF8"/>
    <w:rsid w:val="008675A1"/>
    <w:rsid w:val="00870DAC"/>
    <w:rsid w:val="00870EC6"/>
    <w:rsid w:val="00871D60"/>
    <w:rsid w:val="008722A2"/>
    <w:rsid w:val="0087671A"/>
    <w:rsid w:val="008767C3"/>
    <w:rsid w:val="00877C38"/>
    <w:rsid w:val="00880C7C"/>
    <w:rsid w:val="008814AE"/>
    <w:rsid w:val="00882EBF"/>
    <w:rsid w:val="0088315F"/>
    <w:rsid w:val="00892338"/>
    <w:rsid w:val="00893C60"/>
    <w:rsid w:val="00893E45"/>
    <w:rsid w:val="008965B6"/>
    <w:rsid w:val="008A0CD7"/>
    <w:rsid w:val="008A0D8C"/>
    <w:rsid w:val="008A1B6E"/>
    <w:rsid w:val="008A2456"/>
    <w:rsid w:val="008A2C09"/>
    <w:rsid w:val="008A4EC8"/>
    <w:rsid w:val="008A6F91"/>
    <w:rsid w:val="008A7355"/>
    <w:rsid w:val="008A798A"/>
    <w:rsid w:val="008B0A3F"/>
    <w:rsid w:val="008B19A1"/>
    <w:rsid w:val="008B1AD5"/>
    <w:rsid w:val="008B23A1"/>
    <w:rsid w:val="008B30A1"/>
    <w:rsid w:val="008B351E"/>
    <w:rsid w:val="008B409B"/>
    <w:rsid w:val="008B5166"/>
    <w:rsid w:val="008B670C"/>
    <w:rsid w:val="008B6BC2"/>
    <w:rsid w:val="008B70BC"/>
    <w:rsid w:val="008B76A0"/>
    <w:rsid w:val="008B76B3"/>
    <w:rsid w:val="008C27B2"/>
    <w:rsid w:val="008C3D06"/>
    <w:rsid w:val="008C4DA2"/>
    <w:rsid w:val="008C5DA6"/>
    <w:rsid w:val="008D240A"/>
    <w:rsid w:val="008D5338"/>
    <w:rsid w:val="008D5745"/>
    <w:rsid w:val="008E18D6"/>
    <w:rsid w:val="008E21F0"/>
    <w:rsid w:val="008E3D78"/>
    <w:rsid w:val="008E47C0"/>
    <w:rsid w:val="008E58A7"/>
    <w:rsid w:val="008E5C54"/>
    <w:rsid w:val="008E6D03"/>
    <w:rsid w:val="008F0C7B"/>
    <w:rsid w:val="008F413A"/>
    <w:rsid w:val="008F514B"/>
    <w:rsid w:val="008F5A66"/>
    <w:rsid w:val="008F5D6B"/>
    <w:rsid w:val="008F67ED"/>
    <w:rsid w:val="00903A60"/>
    <w:rsid w:val="00904C78"/>
    <w:rsid w:val="00906929"/>
    <w:rsid w:val="009106B0"/>
    <w:rsid w:val="00912092"/>
    <w:rsid w:val="0091304C"/>
    <w:rsid w:val="0091324D"/>
    <w:rsid w:val="009141BB"/>
    <w:rsid w:val="009152A6"/>
    <w:rsid w:val="009155BB"/>
    <w:rsid w:val="0091673F"/>
    <w:rsid w:val="00917499"/>
    <w:rsid w:val="0092057C"/>
    <w:rsid w:val="00920EBA"/>
    <w:rsid w:val="009277DF"/>
    <w:rsid w:val="009304D5"/>
    <w:rsid w:val="00931B05"/>
    <w:rsid w:val="00933CDE"/>
    <w:rsid w:val="00934068"/>
    <w:rsid w:val="00936BC1"/>
    <w:rsid w:val="00941798"/>
    <w:rsid w:val="00941DE8"/>
    <w:rsid w:val="00946923"/>
    <w:rsid w:val="00946BDA"/>
    <w:rsid w:val="009530A9"/>
    <w:rsid w:val="009544CC"/>
    <w:rsid w:val="00955082"/>
    <w:rsid w:val="00956B70"/>
    <w:rsid w:val="00956CAB"/>
    <w:rsid w:val="0095707E"/>
    <w:rsid w:val="00960AB0"/>
    <w:rsid w:val="00965F1B"/>
    <w:rsid w:val="00966D00"/>
    <w:rsid w:val="00967DF6"/>
    <w:rsid w:val="00972279"/>
    <w:rsid w:val="00974046"/>
    <w:rsid w:val="0097485C"/>
    <w:rsid w:val="00975534"/>
    <w:rsid w:val="0097575A"/>
    <w:rsid w:val="00975BC6"/>
    <w:rsid w:val="009779DF"/>
    <w:rsid w:val="0098001D"/>
    <w:rsid w:val="0098177D"/>
    <w:rsid w:val="009824EA"/>
    <w:rsid w:val="00982F8F"/>
    <w:rsid w:val="00984DBE"/>
    <w:rsid w:val="00987D71"/>
    <w:rsid w:val="00991218"/>
    <w:rsid w:val="009914F1"/>
    <w:rsid w:val="009930BB"/>
    <w:rsid w:val="00993A9A"/>
    <w:rsid w:val="009956B2"/>
    <w:rsid w:val="00997673"/>
    <w:rsid w:val="00997C79"/>
    <w:rsid w:val="009A053F"/>
    <w:rsid w:val="009A092A"/>
    <w:rsid w:val="009A1AA3"/>
    <w:rsid w:val="009A3320"/>
    <w:rsid w:val="009A416F"/>
    <w:rsid w:val="009A4B7B"/>
    <w:rsid w:val="009B182D"/>
    <w:rsid w:val="009B26C2"/>
    <w:rsid w:val="009B2764"/>
    <w:rsid w:val="009B289A"/>
    <w:rsid w:val="009B291F"/>
    <w:rsid w:val="009B30C9"/>
    <w:rsid w:val="009B3717"/>
    <w:rsid w:val="009B5A57"/>
    <w:rsid w:val="009B68EE"/>
    <w:rsid w:val="009B73EC"/>
    <w:rsid w:val="009B7575"/>
    <w:rsid w:val="009C0BFD"/>
    <w:rsid w:val="009C2EEE"/>
    <w:rsid w:val="009C3422"/>
    <w:rsid w:val="009C47F8"/>
    <w:rsid w:val="009C5055"/>
    <w:rsid w:val="009C58C3"/>
    <w:rsid w:val="009C5CF9"/>
    <w:rsid w:val="009C7D20"/>
    <w:rsid w:val="009D0703"/>
    <w:rsid w:val="009D1F55"/>
    <w:rsid w:val="009D2EE2"/>
    <w:rsid w:val="009D35AE"/>
    <w:rsid w:val="009D6910"/>
    <w:rsid w:val="009E073A"/>
    <w:rsid w:val="009E376A"/>
    <w:rsid w:val="009E748D"/>
    <w:rsid w:val="009F0264"/>
    <w:rsid w:val="009F0E98"/>
    <w:rsid w:val="009F21DA"/>
    <w:rsid w:val="009F3B31"/>
    <w:rsid w:val="009F3B7C"/>
    <w:rsid w:val="009F47AE"/>
    <w:rsid w:val="009F509F"/>
    <w:rsid w:val="009F5263"/>
    <w:rsid w:val="009F547A"/>
    <w:rsid w:val="00A01291"/>
    <w:rsid w:val="00A02C39"/>
    <w:rsid w:val="00A05E7A"/>
    <w:rsid w:val="00A063DA"/>
    <w:rsid w:val="00A06477"/>
    <w:rsid w:val="00A10AAD"/>
    <w:rsid w:val="00A13D3B"/>
    <w:rsid w:val="00A15B9C"/>
    <w:rsid w:val="00A20357"/>
    <w:rsid w:val="00A217B2"/>
    <w:rsid w:val="00A2230B"/>
    <w:rsid w:val="00A23340"/>
    <w:rsid w:val="00A24D94"/>
    <w:rsid w:val="00A26370"/>
    <w:rsid w:val="00A30151"/>
    <w:rsid w:val="00A30FDB"/>
    <w:rsid w:val="00A3385B"/>
    <w:rsid w:val="00A35DB0"/>
    <w:rsid w:val="00A361A9"/>
    <w:rsid w:val="00A373FE"/>
    <w:rsid w:val="00A42313"/>
    <w:rsid w:val="00A43CA6"/>
    <w:rsid w:val="00A44ED7"/>
    <w:rsid w:val="00A450B6"/>
    <w:rsid w:val="00A47FF7"/>
    <w:rsid w:val="00A50799"/>
    <w:rsid w:val="00A50C6D"/>
    <w:rsid w:val="00A517C1"/>
    <w:rsid w:val="00A5466A"/>
    <w:rsid w:val="00A547C2"/>
    <w:rsid w:val="00A55CB1"/>
    <w:rsid w:val="00A55F0E"/>
    <w:rsid w:val="00A56404"/>
    <w:rsid w:val="00A57943"/>
    <w:rsid w:val="00A60BD5"/>
    <w:rsid w:val="00A6136F"/>
    <w:rsid w:val="00A62383"/>
    <w:rsid w:val="00A63744"/>
    <w:rsid w:val="00A64185"/>
    <w:rsid w:val="00A81171"/>
    <w:rsid w:val="00A81660"/>
    <w:rsid w:val="00A820B8"/>
    <w:rsid w:val="00A8496C"/>
    <w:rsid w:val="00A8735E"/>
    <w:rsid w:val="00A8737A"/>
    <w:rsid w:val="00A8799F"/>
    <w:rsid w:val="00A909EB"/>
    <w:rsid w:val="00A93859"/>
    <w:rsid w:val="00A93905"/>
    <w:rsid w:val="00A947D6"/>
    <w:rsid w:val="00A94CAB"/>
    <w:rsid w:val="00A96894"/>
    <w:rsid w:val="00A97531"/>
    <w:rsid w:val="00AA0C33"/>
    <w:rsid w:val="00AA1EF3"/>
    <w:rsid w:val="00AA288A"/>
    <w:rsid w:val="00AA36A3"/>
    <w:rsid w:val="00AA5AAF"/>
    <w:rsid w:val="00AA7114"/>
    <w:rsid w:val="00AB0999"/>
    <w:rsid w:val="00AB2CEC"/>
    <w:rsid w:val="00AB2D30"/>
    <w:rsid w:val="00AB3A86"/>
    <w:rsid w:val="00AB605F"/>
    <w:rsid w:val="00AB69AC"/>
    <w:rsid w:val="00AB7E11"/>
    <w:rsid w:val="00AC119E"/>
    <w:rsid w:val="00AC23F5"/>
    <w:rsid w:val="00AC340D"/>
    <w:rsid w:val="00AC4541"/>
    <w:rsid w:val="00AD3FC5"/>
    <w:rsid w:val="00AD6F2E"/>
    <w:rsid w:val="00AD79E9"/>
    <w:rsid w:val="00AD7C2B"/>
    <w:rsid w:val="00AE1E14"/>
    <w:rsid w:val="00AE463C"/>
    <w:rsid w:val="00AE4BBA"/>
    <w:rsid w:val="00AE668E"/>
    <w:rsid w:val="00AE6CE2"/>
    <w:rsid w:val="00AE7D06"/>
    <w:rsid w:val="00AF0192"/>
    <w:rsid w:val="00AF1072"/>
    <w:rsid w:val="00AF1199"/>
    <w:rsid w:val="00AF156D"/>
    <w:rsid w:val="00AF19E7"/>
    <w:rsid w:val="00AF220E"/>
    <w:rsid w:val="00AF5139"/>
    <w:rsid w:val="00AF5D2E"/>
    <w:rsid w:val="00B0362A"/>
    <w:rsid w:val="00B03E0B"/>
    <w:rsid w:val="00B045F0"/>
    <w:rsid w:val="00B04D3F"/>
    <w:rsid w:val="00B072AC"/>
    <w:rsid w:val="00B10CE8"/>
    <w:rsid w:val="00B11695"/>
    <w:rsid w:val="00B123F4"/>
    <w:rsid w:val="00B13187"/>
    <w:rsid w:val="00B139EC"/>
    <w:rsid w:val="00B15A67"/>
    <w:rsid w:val="00B2015E"/>
    <w:rsid w:val="00B2083C"/>
    <w:rsid w:val="00B23FBE"/>
    <w:rsid w:val="00B24059"/>
    <w:rsid w:val="00B2582A"/>
    <w:rsid w:val="00B30F0D"/>
    <w:rsid w:val="00B369C4"/>
    <w:rsid w:val="00B408ED"/>
    <w:rsid w:val="00B426B2"/>
    <w:rsid w:val="00B427A9"/>
    <w:rsid w:val="00B42AD1"/>
    <w:rsid w:val="00B42DA8"/>
    <w:rsid w:val="00B435CA"/>
    <w:rsid w:val="00B43A04"/>
    <w:rsid w:val="00B45A3D"/>
    <w:rsid w:val="00B46E88"/>
    <w:rsid w:val="00B47AAA"/>
    <w:rsid w:val="00B5094B"/>
    <w:rsid w:val="00B50C62"/>
    <w:rsid w:val="00B51157"/>
    <w:rsid w:val="00B5208C"/>
    <w:rsid w:val="00B52863"/>
    <w:rsid w:val="00B5294F"/>
    <w:rsid w:val="00B53181"/>
    <w:rsid w:val="00B53CE1"/>
    <w:rsid w:val="00B56BCC"/>
    <w:rsid w:val="00B6235E"/>
    <w:rsid w:val="00B62DD4"/>
    <w:rsid w:val="00B63CA9"/>
    <w:rsid w:val="00B66394"/>
    <w:rsid w:val="00B66851"/>
    <w:rsid w:val="00B6687B"/>
    <w:rsid w:val="00B67143"/>
    <w:rsid w:val="00B67FC7"/>
    <w:rsid w:val="00B70611"/>
    <w:rsid w:val="00B70772"/>
    <w:rsid w:val="00B70C28"/>
    <w:rsid w:val="00B7117A"/>
    <w:rsid w:val="00B73878"/>
    <w:rsid w:val="00B74420"/>
    <w:rsid w:val="00B750C9"/>
    <w:rsid w:val="00B75286"/>
    <w:rsid w:val="00B75BF7"/>
    <w:rsid w:val="00B77507"/>
    <w:rsid w:val="00B775BE"/>
    <w:rsid w:val="00B7760A"/>
    <w:rsid w:val="00B8420B"/>
    <w:rsid w:val="00B8591E"/>
    <w:rsid w:val="00B8636E"/>
    <w:rsid w:val="00B90BB0"/>
    <w:rsid w:val="00B927AA"/>
    <w:rsid w:val="00B964C2"/>
    <w:rsid w:val="00B9727D"/>
    <w:rsid w:val="00BA0AAC"/>
    <w:rsid w:val="00BB16B7"/>
    <w:rsid w:val="00BB1E5B"/>
    <w:rsid w:val="00BB23CA"/>
    <w:rsid w:val="00BB5F80"/>
    <w:rsid w:val="00BC08AE"/>
    <w:rsid w:val="00BC2430"/>
    <w:rsid w:val="00BC2C10"/>
    <w:rsid w:val="00BC42FC"/>
    <w:rsid w:val="00BC45D9"/>
    <w:rsid w:val="00BC722D"/>
    <w:rsid w:val="00BD07D2"/>
    <w:rsid w:val="00BD27D1"/>
    <w:rsid w:val="00BD3E7B"/>
    <w:rsid w:val="00BD447D"/>
    <w:rsid w:val="00BD4AF6"/>
    <w:rsid w:val="00BD6614"/>
    <w:rsid w:val="00BE40EF"/>
    <w:rsid w:val="00BE773F"/>
    <w:rsid w:val="00BE7AC5"/>
    <w:rsid w:val="00BF0C83"/>
    <w:rsid w:val="00BF2515"/>
    <w:rsid w:val="00BF2E41"/>
    <w:rsid w:val="00BF49AF"/>
    <w:rsid w:val="00BF4DC2"/>
    <w:rsid w:val="00BF5644"/>
    <w:rsid w:val="00BF58AC"/>
    <w:rsid w:val="00BF61AF"/>
    <w:rsid w:val="00BF7381"/>
    <w:rsid w:val="00C016A2"/>
    <w:rsid w:val="00C01E7D"/>
    <w:rsid w:val="00C01EE0"/>
    <w:rsid w:val="00C0259B"/>
    <w:rsid w:val="00C03182"/>
    <w:rsid w:val="00C0470F"/>
    <w:rsid w:val="00C04B0F"/>
    <w:rsid w:val="00C05420"/>
    <w:rsid w:val="00C07D40"/>
    <w:rsid w:val="00C12948"/>
    <w:rsid w:val="00C13EB2"/>
    <w:rsid w:val="00C15B5F"/>
    <w:rsid w:val="00C16D26"/>
    <w:rsid w:val="00C220FA"/>
    <w:rsid w:val="00C2228E"/>
    <w:rsid w:val="00C223B8"/>
    <w:rsid w:val="00C22DF5"/>
    <w:rsid w:val="00C31857"/>
    <w:rsid w:val="00C3699F"/>
    <w:rsid w:val="00C370A6"/>
    <w:rsid w:val="00C420F6"/>
    <w:rsid w:val="00C42A18"/>
    <w:rsid w:val="00C47ACC"/>
    <w:rsid w:val="00C55661"/>
    <w:rsid w:val="00C570BC"/>
    <w:rsid w:val="00C602BA"/>
    <w:rsid w:val="00C61878"/>
    <w:rsid w:val="00C619D3"/>
    <w:rsid w:val="00C624FE"/>
    <w:rsid w:val="00C62C35"/>
    <w:rsid w:val="00C67F3D"/>
    <w:rsid w:val="00C701E2"/>
    <w:rsid w:val="00C7053C"/>
    <w:rsid w:val="00C70E72"/>
    <w:rsid w:val="00C74C56"/>
    <w:rsid w:val="00C750A1"/>
    <w:rsid w:val="00C7606E"/>
    <w:rsid w:val="00C77D22"/>
    <w:rsid w:val="00C811DC"/>
    <w:rsid w:val="00C82180"/>
    <w:rsid w:val="00C8669F"/>
    <w:rsid w:val="00C90385"/>
    <w:rsid w:val="00C9199B"/>
    <w:rsid w:val="00C921FE"/>
    <w:rsid w:val="00C92482"/>
    <w:rsid w:val="00C95F7F"/>
    <w:rsid w:val="00C964B3"/>
    <w:rsid w:val="00C96F8A"/>
    <w:rsid w:val="00CA1C65"/>
    <w:rsid w:val="00CA4250"/>
    <w:rsid w:val="00CB2E27"/>
    <w:rsid w:val="00CB3D5F"/>
    <w:rsid w:val="00CB51FC"/>
    <w:rsid w:val="00CC1BA7"/>
    <w:rsid w:val="00CC25A1"/>
    <w:rsid w:val="00CC2CEB"/>
    <w:rsid w:val="00CC4B24"/>
    <w:rsid w:val="00CC4C79"/>
    <w:rsid w:val="00CC54F2"/>
    <w:rsid w:val="00CD1066"/>
    <w:rsid w:val="00CD2746"/>
    <w:rsid w:val="00CD4301"/>
    <w:rsid w:val="00CD49F0"/>
    <w:rsid w:val="00CD57B2"/>
    <w:rsid w:val="00CD5EDC"/>
    <w:rsid w:val="00CE104F"/>
    <w:rsid w:val="00CE14F0"/>
    <w:rsid w:val="00CE1D2A"/>
    <w:rsid w:val="00CE272E"/>
    <w:rsid w:val="00CE2F35"/>
    <w:rsid w:val="00CE3258"/>
    <w:rsid w:val="00CE40E6"/>
    <w:rsid w:val="00CF2D23"/>
    <w:rsid w:val="00CF336D"/>
    <w:rsid w:val="00CF4886"/>
    <w:rsid w:val="00CF49B1"/>
    <w:rsid w:val="00CF5475"/>
    <w:rsid w:val="00CF72B4"/>
    <w:rsid w:val="00CF790F"/>
    <w:rsid w:val="00D00895"/>
    <w:rsid w:val="00D01E71"/>
    <w:rsid w:val="00D03FC6"/>
    <w:rsid w:val="00D06F00"/>
    <w:rsid w:val="00D0741C"/>
    <w:rsid w:val="00D10A86"/>
    <w:rsid w:val="00D1119E"/>
    <w:rsid w:val="00D1239D"/>
    <w:rsid w:val="00D127E8"/>
    <w:rsid w:val="00D154F7"/>
    <w:rsid w:val="00D206A3"/>
    <w:rsid w:val="00D218B1"/>
    <w:rsid w:val="00D239EE"/>
    <w:rsid w:val="00D247A7"/>
    <w:rsid w:val="00D25B80"/>
    <w:rsid w:val="00D26250"/>
    <w:rsid w:val="00D314C5"/>
    <w:rsid w:val="00D32355"/>
    <w:rsid w:val="00D330CD"/>
    <w:rsid w:val="00D33C36"/>
    <w:rsid w:val="00D34B98"/>
    <w:rsid w:val="00D36B08"/>
    <w:rsid w:val="00D36EAF"/>
    <w:rsid w:val="00D41C4E"/>
    <w:rsid w:val="00D42B20"/>
    <w:rsid w:val="00D43E2B"/>
    <w:rsid w:val="00D43F1C"/>
    <w:rsid w:val="00D46531"/>
    <w:rsid w:val="00D46FC3"/>
    <w:rsid w:val="00D47924"/>
    <w:rsid w:val="00D511E1"/>
    <w:rsid w:val="00D51F8C"/>
    <w:rsid w:val="00D5347D"/>
    <w:rsid w:val="00D554A1"/>
    <w:rsid w:val="00D55CFC"/>
    <w:rsid w:val="00D5753D"/>
    <w:rsid w:val="00D6156C"/>
    <w:rsid w:val="00D617CE"/>
    <w:rsid w:val="00D62863"/>
    <w:rsid w:val="00D65126"/>
    <w:rsid w:val="00D65CD2"/>
    <w:rsid w:val="00D65E02"/>
    <w:rsid w:val="00D66A6F"/>
    <w:rsid w:val="00D66B2B"/>
    <w:rsid w:val="00D675F6"/>
    <w:rsid w:val="00D700CE"/>
    <w:rsid w:val="00D71D28"/>
    <w:rsid w:val="00D72F1F"/>
    <w:rsid w:val="00D73255"/>
    <w:rsid w:val="00D74FC1"/>
    <w:rsid w:val="00D75D8E"/>
    <w:rsid w:val="00D76660"/>
    <w:rsid w:val="00D770D3"/>
    <w:rsid w:val="00D8038D"/>
    <w:rsid w:val="00D85CDE"/>
    <w:rsid w:val="00D8621E"/>
    <w:rsid w:val="00D8676B"/>
    <w:rsid w:val="00D871F0"/>
    <w:rsid w:val="00D9025A"/>
    <w:rsid w:val="00D936BF"/>
    <w:rsid w:val="00D94046"/>
    <w:rsid w:val="00DA50FD"/>
    <w:rsid w:val="00DA6511"/>
    <w:rsid w:val="00DA6E6A"/>
    <w:rsid w:val="00DA7190"/>
    <w:rsid w:val="00DB1CAC"/>
    <w:rsid w:val="00DB2B0A"/>
    <w:rsid w:val="00DB381B"/>
    <w:rsid w:val="00DB49E5"/>
    <w:rsid w:val="00DB6BFF"/>
    <w:rsid w:val="00DC37A9"/>
    <w:rsid w:val="00DC4217"/>
    <w:rsid w:val="00DD102E"/>
    <w:rsid w:val="00DD4897"/>
    <w:rsid w:val="00DD5C1C"/>
    <w:rsid w:val="00DD61DF"/>
    <w:rsid w:val="00DD6247"/>
    <w:rsid w:val="00DD7C47"/>
    <w:rsid w:val="00DD7DF2"/>
    <w:rsid w:val="00DE00E6"/>
    <w:rsid w:val="00DE02C5"/>
    <w:rsid w:val="00DE0B18"/>
    <w:rsid w:val="00DE28FE"/>
    <w:rsid w:val="00DE2EB6"/>
    <w:rsid w:val="00DE6D1D"/>
    <w:rsid w:val="00DE74A6"/>
    <w:rsid w:val="00DF2A4B"/>
    <w:rsid w:val="00DF5288"/>
    <w:rsid w:val="00DF71A0"/>
    <w:rsid w:val="00E00A91"/>
    <w:rsid w:val="00E01A16"/>
    <w:rsid w:val="00E02BF5"/>
    <w:rsid w:val="00E03E9F"/>
    <w:rsid w:val="00E04E3B"/>
    <w:rsid w:val="00E06E7D"/>
    <w:rsid w:val="00E076C7"/>
    <w:rsid w:val="00E10D07"/>
    <w:rsid w:val="00E12D22"/>
    <w:rsid w:val="00E14390"/>
    <w:rsid w:val="00E14855"/>
    <w:rsid w:val="00E156A7"/>
    <w:rsid w:val="00E15F87"/>
    <w:rsid w:val="00E1777A"/>
    <w:rsid w:val="00E226A2"/>
    <w:rsid w:val="00E2460B"/>
    <w:rsid w:val="00E3026B"/>
    <w:rsid w:val="00E30E4E"/>
    <w:rsid w:val="00E319CE"/>
    <w:rsid w:val="00E31AE1"/>
    <w:rsid w:val="00E342DF"/>
    <w:rsid w:val="00E37AF4"/>
    <w:rsid w:val="00E40B06"/>
    <w:rsid w:val="00E417B7"/>
    <w:rsid w:val="00E421C3"/>
    <w:rsid w:val="00E43998"/>
    <w:rsid w:val="00E4408E"/>
    <w:rsid w:val="00E44D66"/>
    <w:rsid w:val="00E45DE6"/>
    <w:rsid w:val="00E46B17"/>
    <w:rsid w:val="00E46D08"/>
    <w:rsid w:val="00E46FFA"/>
    <w:rsid w:val="00E4738A"/>
    <w:rsid w:val="00E476B8"/>
    <w:rsid w:val="00E4784E"/>
    <w:rsid w:val="00E50619"/>
    <w:rsid w:val="00E509A3"/>
    <w:rsid w:val="00E51058"/>
    <w:rsid w:val="00E513EF"/>
    <w:rsid w:val="00E531B1"/>
    <w:rsid w:val="00E53F68"/>
    <w:rsid w:val="00E546D0"/>
    <w:rsid w:val="00E55BC2"/>
    <w:rsid w:val="00E576A6"/>
    <w:rsid w:val="00E600A3"/>
    <w:rsid w:val="00E60CD6"/>
    <w:rsid w:val="00E63460"/>
    <w:rsid w:val="00E64AA1"/>
    <w:rsid w:val="00E64E00"/>
    <w:rsid w:val="00E652FB"/>
    <w:rsid w:val="00E6539E"/>
    <w:rsid w:val="00E664A3"/>
    <w:rsid w:val="00E6661C"/>
    <w:rsid w:val="00E670C5"/>
    <w:rsid w:val="00E67327"/>
    <w:rsid w:val="00E7004E"/>
    <w:rsid w:val="00E70AB7"/>
    <w:rsid w:val="00E70D9D"/>
    <w:rsid w:val="00E70EE0"/>
    <w:rsid w:val="00E76266"/>
    <w:rsid w:val="00E80EF1"/>
    <w:rsid w:val="00E821B0"/>
    <w:rsid w:val="00E86378"/>
    <w:rsid w:val="00E91F17"/>
    <w:rsid w:val="00E95BCE"/>
    <w:rsid w:val="00E968B2"/>
    <w:rsid w:val="00EA208C"/>
    <w:rsid w:val="00EA3070"/>
    <w:rsid w:val="00EA3AE7"/>
    <w:rsid w:val="00EA40FD"/>
    <w:rsid w:val="00EA4775"/>
    <w:rsid w:val="00EA501D"/>
    <w:rsid w:val="00EA5E55"/>
    <w:rsid w:val="00EA6E09"/>
    <w:rsid w:val="00EA6F83"/>
    <w:rsid w:val="00EA7B51"/>
    <w:rsid w:val="00EB2589"/>
    <w:rsid w:val="00EB46A5"/>
    <w:rsid w:val="00EB4753"/>
    <w:rsid w:val="00EB488E"/>
    <w:rsid w:val="00EB4919"/>
    <w:rsid w:val="00EB6915"/>
    <w:rsid w:val="00EB7F13"/>
    <w:rsid w:val="00EC0BC6"/>
    <w:rsid w:val="00EC1CD1"/>
    <w:rsid w:val="00EC1DB3"/>
    <w:rsid w:val="00EC482D"/>
    <w:rsid w:val="00EC56BC"/>
    <w:rsid w:val="00EC5E29"/>
    <w:rsid w:val="00ED0240"/>
    <w:rsid w:val="00ED3B5D"/>
    <w:rsid w:val="00ED4233"/>
    <w:rsid w:val="00ED458A"/>
    <w:rsid w:val="00ED7CC6"/>
    <w:rsid w:val="00EE2D31"/>
    <w:rsid w:val="00EE31EA"/>
    <w:rsid w:val="00EE33D7"/>
    <w:rsid w:val="00EE5E68"/>
    <w:rsid w:val="00EF05D3"/>
    <w:rsid w:val="00EF1BED"/>
    <w:rsid w:val="00EF3F6F"/>
    <w:rsid w:val="00EF46B9"/>
    <w:rsid w:val="00EF6940"/>
    <w:rsid w:val="00EF6972"/>
    <w:rsid w:val="00EF72D1"/>
    <w:rsid w:val="00EF7FBA"/>
    <w:rsid w:val="00F007CA"/>
    <w:rsid w:val="00F00E9A"/>
    <w:rsid w:val="00F05FEE"/>
    <w:rsid w:val="00F10B5D"/>
    <w:rsid w:val="00F11103"/>
    <w:rsid w:val="00F130DC"/>
    <w:rsid w:val="00F13B55"/>
    <w:rsid w:val="00F1576E"/>
    <w:rsid w:val="00F16161"/>
    <w:rsid w:val="00F21FF2"/>
    <w:rsid w:val="00F24F6D"/>
    <w:rsid w:val="00F258F3"/>
    <w:rsid w:val="00F26E9D"/>
    <w:rsid w:val="00F3072F"/>
    <w:rsid w:val="00F307B5"/>
    <w:rsid w:val="00F30D18"/>
    <w:rsid w:val="00F35A7E"/>
    <w:rsid w:val="00F41D90"/>
    <w:rsid w:val="00F42D75"/>
    <w:rsid w:val="00F46596"/>
    <w:rsid w:val="00F46FDF"/>
    <w:rsid w:val="00F4718F"/>
    <w:rsid w:val="00F47B86"/>
    <w:rsid w:val="00F50905"/>
    <w:rsid w:val="00F55311"/>
    <w:rsid w:val="00F55F5B"/>
    <w:rsid w:val="00F5693E"/>
    <w:rsid w:val="00F56E15"/>
    <w:rsid w:val="00F57B06"/>
    <w:rsid w:val="00F57B0B"/>
    <w:rsid w:val="00F61C47"/>
    <w:rsid w:val="00F63A75"/>
    <w:rsid w:val="00F63CFE"/>
    <w:rsid w:val="00F67B87"/>
    <w:rsid w:val="00F71508"/>
    <w:rsid w:val="00F71552"/>
    <w:rsid w:val="00F7188B"/>
    <w:rsid w:val="00F72090"/>
    <w:rsid w:val="00F74277"/>
    <w:rsid w:val="00F7639A"/>
    <w:rsid w:val="00F81361"/>
    <w:rsid w:val="00F90BE1"/>
    <w:rsid w:val="00F945A6"/>
    <w:rsid w:val="00F94C7F"/>
    <w:rsid w:val="00F94C9C"/>
    <w:rsid w:val="00F958F8"/>
    <w:rsid w:val="00F97948"/>
    <w:rsid w:val="00FA0A8A"/>
    <w:rsid w:val="00FA11CC"/>
    <w:rsid w:val="00FA2185"/>
    <w:rsid w:val="00FA543F"/>
    <w:rsid w:val="00FA5759"/>
    <w:rsid w:val="00FA78CB"/>
    <w:rsid w:val="00FB026F"/>
    <w:rsid w:val="00FB1230"/>
    <w:rsid w:val="00FB13DC"/>
    <w:rsid w:val="00FB1915"/>
    <w:rsid w:val="00FB21EB"/>
    <w:rsid w:val="00FB266D"/>
    <w:rsid w:val="00FB51FA"/>
    <w:rsid w:val="00FB55A1"/>
    <w:rsid w:val="00FB5839"/>
    <w:rsid w:val="00FB7C63"/>
    <w:rsid w:val="00FC1427"/>
    <w:rsid w:val="00FC3D4D"/>
    <w:rsid w:val="00FD0138"/>
    <w:rsid w:val="00FD09A1"/>
    <w:rsid w:val="00FD149D"/>
    <w:rsid w:val="00FD4F6C"/>
    <w:rsid w:val="00FD5127"/>
    <w:rsid w:val="00FD6069"/>
    <w:rsid w:val="00FD6C69"/>
    <w:rsid w:val="00FD7524"/>
    <w:rsid w:val="00FD7560"/>
    <w:rsid w:val="00FE024C"/>
    <w:rsid w:val="00FE2E1B"/>
    <w:rsid w:val="00FE2E45"/>
    <w:rsid w:val="00FE5053"/>
    <w:rsid w:val="00FE6415"/>
    <w:rsid w:val="00FF0193"/>
    <w:rsid w:val="00FF18EA"/>
    <w:rsid w:val="00FF1B7F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1EC217"/>
  <w15:docId w15:val="{5623DC35-7DD3-42D3-9AC0-D38F76C9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218"/>
    <w:pPr>
      <w:keepNext/>
      <w:keepLines/>
      <w:spacing w:before="200" w:after="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218"/>
    <w:pPr>
      <w:keepNext/>
      <w:keepLines/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218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218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218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218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218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218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2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1119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1119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E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D16"/>
  </w:style>
  <w:style w:type="paragraph" w:styleId="Footer">
    <w:name w:val="footer"/>
    <w:basedOn w:val="Normal"/>
    <w:link w:val="FooterChar"/>
    <w:uiPriority w:val="99"/>
    <w:unhideWhenUsed/>
    <w:rsid w:val="006F2963"/>
    <w:pPr>
      <w:tabs>
        <w:tab w:val="center" w:pos="4680"/>
        <w:tab w:val="right" w:pos="9360"/>
      </w:tabs>
      <w:spacing w:after="0" w:line="240" w:lineRule="auto"/>
    </w:pPr>
    <w:rPr>
      <w:b/>
      <w:spacing w:val="6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F2963"/>
    <w:rPr>
      <w:b/>
      <w:spacing w:val="60"/>
      <w:sz w:val="16"/>
      <w:szCs w:val="16"/>
    </w:rPr>
  </w:style>
  <w:style w:type="table" w:styleId="TableGrid">
    <w:name w:val="Table Grid"/>
    <w:basedOn w:val="TableNormal"/>
    <w:uiPriority w:val="59"/>
    <w:rsid w:val="003E2D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5E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AHeading">
    <w:name w:val="toa heading"/>
    <w:basedOn w:val="Normal"/>
    <w:next w:val="Normal"/>
    <w:uiPriority w:val="99"/>
    <w:semiHidden/>
    <w:unhideWhenUsed/>
    <w:rsid w:val="0062510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2510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2510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B13187"/>
    <w:pPr>
      <w:spacing w:after="100"/>
    </w:pPr>
    <w:rPr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25107"/>
    <w:pPr>
      <w:spacing w:after="100"/>
      <w:ind w:left="440"/>
    </w:pPr>
  </w:style>
  <w:style w:type="table" w:customStyle="1" w:styleId="LightGrid1">
    <w:name w:val="Light Grid1"/>
    <w:basedOn w:val="TableNormal"/>
    <w:uiPriority w:val="62"/>
    <w:rsid w:val="00AB69A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AB69A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31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30E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0E4E"/>
    <w:rPr>
      <w:rFonts w:ascii="Consolas" w:eastAsiaTheme="minorEastAsia" w:hAnsi="Consolas"/>
      <w:sz w:val="21"/>
      <w:szCs w:val="21"/>
    </w:rPr>
  </w:style>
  <w:style w:type="character" w:styleId="CommentReference">
    <w:name w:val="annotation reference"/>
    <w:basedOn w:val="DefaultParagraphFont"/>
    <w:unhideWhenUsed/>
    <w:rsid w:val="00E30E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0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E4E"/>
    <w:rPr>
      <w:rFonts w:eastAsiaTheme="minorEastAsia"/>
      <w:sz w:val="20"/>
      <w:szCs w:val="20"/>
    </w:rPr>
  </w:style>
  <w:style w:type="paragraph" w:customStyle="1" w:styleId="Heading">
    <w:name w:val="Heading"/>
    <w:basedOn w:val="Normal"/>
    <w:next w:val="Normal"/>
    <w:rsid w:val="00E30E4E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DejaVu Sans" w:hAnsi="Arial" w:cs="DejaVu Sans"/>
      <w:color w:val="000000"/>
      <w:kern w:val="3"/>
      <w:sz w:val="28"/>
      <w:szCs w:val="28"/>
    </w:rPr>
  </w:style>
  <w:style w:type="paragraph" w:customStyle="1" w:styleId="synopsis">
    <w:name w:val="synopsis"/>
    <w:basedOn w:val="Normal"/>
    <w:rsid w:val="00D4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531"/>
    <w:rPr>
      <w:b/>
      <w:bCs/>
    </w:rPr>
  </w:style>
  <w:style w:type="character" w:customStyle="1" w:styleId="WW8Num7z1">
    <w:name w:val="WW8Num7z1"/>
    <w:rsid w:val="00BB23CA"/>
    <w:rPr>
      <w:rFonts w:ascii="Courier New" w:hAnsi="Courier New" w:cs="Wingdings"/>
    </w:rPr>
  </w:style>
  <w:style w:type="paragraph" w:styleId="BodyText">
    <w:name w:val="Body Text"/>
    <w:basedOn w:val="Normal"/>
    <w:link w:val="BodyTextChar"/>
    <w:rsid w:val="00BB23CA"/>
    <w:pPr>
      <w:suppressAutoHyphens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BB23CA"/>
    <w:rPr>
      <w:rFonts w:ascii="Times New Roman" w:eastAsia="Calibri" w:hAnsi="Times New Roman" w:cs="Times New Roman"/>
      <w:sz w:val="24"/>
      <w:szCs w:val="24"/>
      <w:lang w:val="en-GB" w:eastAsia="ar-SA"/>
    </w:rPr>
  </w:style>
  <w:style w:type="table" w:styleId="LightGrid-Accent2">
    <w:name w:val="Light Grid Accent 2"/>
    <w:basedOn w:val="TableNormal"/>
    <w:uiPriority w:val="62"/>
    <w:rsid w:val="00EA3AE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Emphasis">
    <w:name w:val="Emphasis"/>
    <w:basedOn w:val="DefaultParagraphFont"/>
    <w:uiPriority w:val="20"/>
    <w:qFormat/>
    <w:rsid w:val="00C921FE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F2515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B3"/>
    <w:rPr>
      <w:rFonts w:eastAsiaTheme="minorEastAsia"/>
      <w:b/>
      <w:bCs/>
      <w:sz w:val="20"/>
      <w:szCs w:val="20"/>
    </w:rPr>
  </w:style>
  <w:style w:type="paragraph" w:customStyle="1" w:styleId="MediumGrid1-Accent21">
    <w:name w:val="Medium Grid 1 - Accent 21"/>
    <w:basedOn w:val="Normal"/>
    <w:rsid w:val="00EB46A5"/>
    <w:pPr>
      <w:suppressAutoHyphens/>
      <w:ind w:left="720"/>
    </w:pPr>
    <w:rPr>
      <w:rFonts w:ascii="Calibri" w:eastAsia="Times New Roman" w:hAnsi="Calibri" w:cs="Arial"/>
      <w:lang w:val="de-DE" w:eastAsia="ar-SA"/>
    </w:rPr>
  </w:style>
  <w:style w:type="paragraph" w:customStyle="1" w:styleId="Default">
    <w:name w:val="Default"/>
    <w:rsid w:val="00142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detext">
    <w:name w:val="nodetext"/>
    <w:basedOn w:val="DefaultParagraphFont"/>
    <w:rsid w:val="00EB7F13"/>
  </w:style>
  <w:style w:type="paragraph" w:customStyle="1" w:styleId="cptcode-no-indent">
    <w:name w:val="cptcode-no-indent"/>
    <w:basedOn w:val="Normal"/>
    <w:rsid w:val="00E64E00"/>
    <w:pPr>
      <w:spacing w:before="100" w:beforeAutospacing="1" w:after="0" w:line="240" w:lineRule="auto"/>
    </w:pPr>
    <w:rPr>
      <w:rFonts w:ascii="Arial, Helvetica, sans-serif" w:eastAsia="Times New Roman" w:hAnsi="Arial, Helvetica, sans-serif" w:cs="Times New Roman"/>
    </w:rPr>
  </w:style>
  <w:style w:type="table" w:styleId="LightGrid">
    <w:name w:val="Light Grid"/>
    <w:basedOn w:val="TableNormal"/>
    <w:uiPriority w:val="62"/>
    <w:rsid w:val="00F57B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57B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912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121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9121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21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21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21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21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21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ormalWebChar1">
    <w:name w:val="Normal (Web) Char1"/>
    <w:aliases w:val="Normal (Web) Char Char,Normal (Web) Char Char Char1"/>
    <w:basedOn w:val="DefaultParagraphFont"/>
    <w:link w:val="wordsection1"/>
    <w:uiPriority w:val="99"/>
    <w:locked/>
    <w:rsid w:val="009B68EE"/>
  </w:style>
  <w:style w:type="paragraph" w:customStyle="1" w:styleId="wordsection1">
    <w:name w:val="wordsection1"/>
    <w:basedOn w:val="Normal"/>
    <w:link w:val="NormalWebChar1"/>
    <w:uiPriority w:val="99"/>
    <w:rsid w:val="009B6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92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965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8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h.gov.ae/en/Shafafiya/report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2011-02-01T00:00:00</PublishDate>
  <Abstract> Version</Abstract>
  <CompanyAddress>Standards and Prices- Health Payers Sector             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8EC4274D3146AA4433B21B54FCE9" ma:contentTypeVersion="1" ma:contentTypeDescription="Create a new document." ma:contentTypeScope="" ma:versionID="366aceac997748c38222da923f65005c">
  <xsd:schema xmlns:xsd="http://www.w3.org/2001/XMLSchema" xmlns:xs="http://www.w3.org/2001/XMLSchema" xmlns:p="http://schemas.microsoft.com/office/2006/metadata/properties" xmlns:ns2="02d95b45-40be-4dca-9e8f-1198fbb93bf5" targetNamespace="http://schemas.microsoft.com/office/2006/metadata/properties" ma:root="true" ma:fieldsID="11bbcbe079d7cb84ab1114242386331c" ns2:_="">
    <xsd:import namespace="02d95b45-40be-4dca-9e8f-1198fbb93bf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95b45-40be-4dca-9e8f-1198fbb93b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430829-3911-40E9-BA5F-02F865E66A0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02d95b45-40be-4dca-9e8f-1198fbb93bf5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A3ECE3-B9E7-4F59-8030-63E029AE8A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0A96F-97A4-4DC9-938F-47D14E4FA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95b45-40be-4dca-9e8f-1198fbb93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082737-F44F-4BE5-A090-DE21BC19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31 to DOH Claims &amp; Adjudication Rules</vt:lpstr>
    </vt:vector>
  </TitlesOfParts>
  <Company>Health Authority of Abu Dhabi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31 to DOH Claims &amp; Adjudication Rules</dc:title>
  <dc:subject>Including the Mandatory Tariff Pricelist Application Rules.</dc:subject>
  <dc:creator>Health Systems Financing Department</dc:creator>
  <cp:keywords/>
  <dc:description/>
  <cp:lastModifiedBy>Dr.Aiman Gaili</cp:lastModifiedBy>
  <cp:revision>2</cp:revision>
  <cp:lastPrinted>2022-06-20T08:29:00Z</cp:lastPrinted>
  <dcterms:created xsi:type="dcterms:W3CDTF">2023-06-20T10:59:00Z</dcterms:created>
  <dcterms:modified xsi:type="dcterms:W3CDTF">2023-06-20T10:59:00Z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b2f6c4-3de3-482e-b486-c3267d710c48_Enabled">
    <vt:lpwstr>true</vt:lpwstr>
  </property>
  <property fmtid="{D5CDD505-2E9C-101B-9397-08002B2CF9AE}" pid="3" name="MSIP_Label_e7b2f6c4-3de3-482e-b486-c3267d710c48_SetDate">
    <vt:lpwstr>2022-03-17T14:16:27Z</vt:lpwstr>
  </property>
  <property fmtid="{D5CDD505-2E9C-101B-9397-08002B2CF9AE}" pid="4" name="MSIP_Label_e7b2f6c4-3de3-482e-b486-c3267d710c48_Method">
    <vt:lpwstr>Privileged</vt:lpwstr>
  </property>
  <property fmtid="{D5CDD505-2E9C-101B-9397-08002B2CF9AE}" pid="5" name="MSIP_Label_e7b2f6c4-3de3-482e-b486-c3267d710c48_Name">
    <vt:lpwstr>Internal</vt:lpwstr>
  </property>
  <property fmtid="{D5CDD505-2E9C-101B-9397-08002B2CF9AE}" pid="6" name="MSIP_Label_e7b2f6c4-3de3-482e-b486-c3267d710c48_SiteId">
    <vt:lpwstr>2d529629-0823-4a41-9881-2099f3f2ce97</vt:lpwstr>
  </property>
  <property fmtid="{D5CDD505-2E9C-101B-9397-08002B2CF9AE}" pid="7" name="MSIP_Label_e7b2f6c4-3de3-482e-b486-c3267d710c48_ActionId">
    <vt:lpwstr>8a51d91b-67fa-4e85-ad37-b07278dfa78f</vt:lpwstr>
  </property>
  <property fmtid="{D5CDD505-2E9C-101B-9397-08002B2CF9AE}" pid="8" name="MSIP_Label_e7b2f6c4-3de3-482e-b486-c3267d710c48_ContentBits">
    <vt:lpwstr>0</vt:lpwstr>
  </property>
  <property fmtid="{D5CDD505-2E9C-101B-9397-08002B2CF9AE}" pid="9" name="ContentTypeId">
    <vt:lpwstr>0x01010059BE8EC4274D3146AA4433B21B54FCE9</vt:lpwstr>
  </property>
</Properties>
</file>