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12" w:rsidRPr="009261A9" w:rsidRDefault="00567DC2" w:rsidP="00D82FFB">
      <w:pPr>
        <w:jc w:val="center"/>
        <w:rPr>
          <w:b/>
        </w:rPr>
      </w:pPr>
      <w:r>
        <w:rPr>
          <w:b/>
        </w:rPr>
        <w:t xml:space="preserve">High Cost </w:t>
      </w:r>
      <w:r w:rsidR="009261A9" w:rsidRPr="009261A9">
        <w:rPr>
          <w:b/>
        </w:rPr>
        <w:t>HCP</w:t>
      </w:r>
      <w:r w:rsidR="00972F0D">
        <w:rPr>
          <w:b/>
        </w:rPr>
        <w:t>C</w:t>
      </w:r>
      <w:r w:rsidR="009261A9" w:rsidRPr="009261A9">
        <w:rPr>
          <w:b/>
        </w:rPr>
        <w:t xml:space="preserve">S </w:t>
      </w:r>
      <w:r>
        <w:rPr>
          <w:b/>
        </w:rPr>
        <w:t xml:space="preserve">Add On </w:t>
      </w:r>
      <w:r w:rsidR="009261A9" w:rsidRPr="009261A9">
        <w:rPr>
          <w:b/>
        </w:rPr>
        <w:t xml:space="preserve">Reimbursement for the DRG Update Effective </w:t>
      </w:r>
      <w:r w:rsidR="00A329CB">
        <w:rPr>
          <w:b/>
        </w:rPr>
        <w:t>September</w:t>
      </w:r>
      <w:r w:rsidR="00A329CB" w:rsidRPr="009261A9">
        <w:rPr>
          <w:b/>
        </w:rPr>
        <w:t xml:space="preserve"> </w:t>
      </w:r>
      <w:r w:rsidR="009261A9" w:rsidRPr="009261A9">
        <w:rPr>
          <w:b/>
        </w:rPr>
        <w:t>1</w:t>
      </w:r>
      <w:r w:rsidR="00D82FFB">
        <w:rPr>
          <w:b/>
        </w:rPr>
        <w:t>5</w:t>
      </w:r>
      <w:r w:rsidR="00D82FFB" w:rsidRPr="00D82FFB">
        <w:rPr>
          <w:b/>
          <w:vertAlign w:val="superscript"/>
        </w:rPr>
        <w:t>th</w:t>
      </w:r>
      <w:r w:rsidR="009261A9" w:rsidRPr="009261A9">
        <w:rPr>
          <w:b/>
        </w:rPr>
        <w:t>, 2014</w:t>
      </w:r>
    </w:p>
    <w:p w:rsidR="008A48AF" w:rsidRDefault="008A48AF" w:rsidP="007158A7"/>
    <w:p w:rsidR="00884D3B" w:rsidRDefault="00884D3B" w:rsidP="008A48AF">
      <w:r>
        <w:t xml:space="preserve">HAAD developed </w:t>
      </w:r>
      <w:r w:rsidR="007158A7">
        <w:t xml:space="preserve">DRG weights </w:t>
      </w:r>
      <w:r>
        <w:t>update and presented them to the market in February 2014. One of the major recommendations of the market was to address high cost devices (HCPC</w:t>
      </w:r>
      <w:r w:rsidR="008A48AF">
        <w:t>S</w:t>
      </w:r>
      <w:r>
        <w:t>). In response, HAAD decided to implement the weight update as presented along with addressing the issue of high cost HCPC</w:t>
      </w:r>
      <w:r w:rsidR="008A48AF">
        <w:t>S</w:t>
      </w:r>
      <w:r>
        <w:t xml:space="preserve"> as below.</w:t>
      </w:r>
    </w:p>
    <w:p w:rsidR="009261A9" w:rsidRDefault="00816DE6" w:rsidP="00884D3B">
      <w:r>
        <w:t>For a short period</w:t>
      </w:r>
      <w:r w:rsidR="00F062AC">
        <w:t xml:space="preserve"> of time, specific high cost devices will be entitled for add-on payment in addition to DRG payment. </w:t>
      </w:r>
      <w:r w:rsidR="009261A9">
        <w:t xml:space="preserve">Following input from hospitals and the collection of specific high cost devices, HAAD has developed the following approach for reimbursing certain, approved devices on top of the normal DRG </w:t>
      </w:r>
      <w:r w:rsidR="00E6700F">
        <w:t>payment. Keep</w:t>
      </w:r>
      <w:r w:rsidR="009261A9">
        <w:t xml:space="preserve"> in mind the goal was to reimburse a limited number of high cost and/or new technology devices that are not fully recognized in the DRG weights. With the collection of actual cost data from the policy </w:t>
      </w:r>
      <w:r w:rsidR="00E6700F">
        <w:t>outlined</w:t>
      </w:r>
      <w:r w:rsidR="009261A9">
        <w:t xml:space="preserve"> below, ultimately these device costs can be more accurately reflected in future updates, as approach advised by both 3M and observed in the US Medicare program</w:t>
      </w:r>
    </w:p>
    <w:p w:rsidR="009261A9" w:rsidRDefault="000A6F97" w:rsidP="00355B6D">
      <w:r>
        <w:t xml:space="preserve">The following (Table A) </w:t>
      </w:r>
      <w:r w:rsidR="009261A9">
        <w:t xml:space="preserve">identifies the devices that are eligible for </w:t>
      </w:r>
      <w:r w:rsidR="00EF314A">
        <w:t xml:space="preserve">add-on </w:t>
      </w:r>
      <w:r w:rsidR="009261A9">
        <w:t>payment</w:t>
      </w:r>
      <w:r w:rsidR="00B155C3">
        <w:t xml:space="preserve">, </w:t>
      </w:r>
      <w:r w:rsidR="00B155C3" w:rsidRPr="00EC6EBF">
        <w:rPr>
          <w:b/>
        </w:rPr>
        <w:t>High Cost Listed HCPC</w:t>
      </w:r>
      <w:r w:rsidR="00355B6D">
        <w:rPr>
          <w:b/>
        </w:rPr>
        <w:t>S</w:t>
      </w:r>
      <w:r>
        <w:t xml:space="preserve">.  </w:t>
      </w:r>
      <w:r w:rsidR="00EF314A">
        <w:t xml:space="preserve">Generally, the </w:t>
      </w:r>
      <w:r w:rsidR="009261A9">
        <w:t xml:space="preserve">list </w:t>
      </w:r>
      <w:r w:rsidR="00EF314A">
        <w:t xml:space="preserve">is based </w:t>
      </w:r>
      <w:r w:rsidR="009261A9">
        <w:t xml:space="preserve">upon the data provided by the hospitals and the criteria that they are “high cost” thus our threshold for inclusion was </w:t>
      </w:r>
      <w:r w:rsidR="00A37917">
        <w:t>AED 5,000 for market price average</w:t>
      </w:r>
      <w:r w:rsidR="009261A9">
        <w:t>.</w:t>
      </w:r>
      <w:r w:rsidR="00F40CCF">
        <w:t xml:space="preserve"> The DRG claim is eligible for the Add-on payment when the total cost of these specified HCPC</w:t>
      </w:r>
      <w:r w:rsidR="008A48AF">
        <w:t>S</w:t>
      </w:r>
      <w:r w:rsidR="00F40CCF">
        <w:t xml:space="preserve"> in the claim is 5,000 AED or more.</w:t>
      </w:r>
    </w:p>
    <w:p w:rsidR="007158A7" w:rsidRDefault="00EC6EBF" w:rsidP="008A48AF">
      <w:r>
        <w:t>For listed devices</w:t>
      </w:r>
      <w:r w:rsidR="000A6F97">
        <w:t>,</w:t>
      </w:r>
      <w:r w:rsidR="009261A9">
        <w:t xml:space="preserve"> the provider will be eligible for an </w:t>
      </w:r>
      <w:r w:rsidR="00EF314A" w:rsidRPr="00EC6EBF">
        <w:rPr>
          <w:b/>
        </w:rPr>
        <w:t>add-on</w:t>
      </w:r>
      <w:r w:rsidR="00EF314A">
        <w:t xml:space="preserve"> </w:t>
      </w:r>
      <w:r w:rsidR="009261A9">
        <w:t>payment of 75%</w:t>
      </w:r>
      <w:r w:rsidR="00EF314A">
        <w:rPr>
          <w:rStyle w:val="FootnoteReference"/>
        </w:rPr>
        <w:footnoteReference w:id="1"/>
      </w:r>
      <w:r w:rsidR="009261A9">
        <w:t xml:space="preserve"> of the difference between </w:t>
      </w:r>
      <w:r w:rsidR="00EF314A">
        <w:t>the</w:t>
      </w:r>
      <w:r w:rsidR="00A37917">
        <w:t xml:space="preserve"> price and the HCPC</w:t>
      </w:r>
      <w:r w:rsidR="008A48AF">
        <w:t>S</w:t>
      </w:r>
      <w:r w:rsidR="00A37917">
        <w:t xml:space="preserve"> portion </w:t>
      </w:r>
      <w:r w:rsidR="009261A9">
        <w:t xml:space="preserve">amount built into the DRG </w:t>
      </w:r>
      <w:r w:rsidR="00A37917">
        <w:t xml:space="preserve">as </w:t>
      </w:r>
      <w:r w:rsidR="009261A9">
        <w:t xml:space="preserve">listed on the spreadsheet. </w:t>
      </w:r>
      <w:hyperlink r:id="rId8" w:history="1">
        <w:r w:rsidR="00540FCB" w:rsidRPr="006D0356">
          <w:rPr>
            <w:rStyle w:val="Hyperlink"/>
          </w:rPr>
          <w:t>http://www.shafafiya.org/Dictionary/Prices/20140901_DRG_WeightUpdateMethodology.xlsx</w:t>
        </w:r>
      </w:hyperlink>
      <w:r w:rsidR="00540FCB" w:rsidRPr="00540FCB">
        <w:t>?</w:t>
      </w:r>
      <w:r w:rsidR="00540FCB">
        <w:t xml:space="preserve"> </w:t>
      </w:r>
    </w:p>
    <w:p w:rsidR="00A37917" w:rsidRDefault="00567DC2" w:rsidP="008A48AF">
      <w:r w:rsidRPr="007158A7">
        <w:rPr>
          <w:b/>
          <w:bCs/>
        </w:rPr>
        <w:t>Add-on Payment</w:t>
      </w:r>
      <w:r w:rsidRPr="00567DC2">
        <w:t xml:space="preserve"> = 75% X (</w:t>
      </w:r>
      <w:r w:rsidR="00777FD4" w:rsidRPr="00EC6EBF">
        <w:rPr>
          <w:b/>
        </w:rPr>
        <w:t xml:space="preserve">Total </w:t>
      </w:r>
      <w:r w:rsidR="008A48AF">
        <w:rPr>
          <w:b/>
        </w:rPr>
        <w:t>Cost</w:t>
      </w:r>
      <w:r w:rsidRPr="00EC6EBF">
        <w:rPr>
          <w:b/>
        </w:rPr>
        <w:t xml:space="preserve"> for High Cost Listed HCPC</w:t>
      </w:r>
      <w:r w:rsidR="008A48AF">
        <w:rPr>
          <w:b/>
        </w:rPr>
        <w:t>S</w:t>
      </w:r>
      <w:r w:rsidRPr="00EC6EBF">
        <w:rPr>
          <w:b/>
        </w:rPr>
        <w:t xml:space="preserve"> in a DRG claim</w:t>
      </w:r>
      <w:r w:rsidRPr="00567DC2">
        <w:t xml:space="preserve"> - DRG HCPC</w:t>
      </w:r>
      <w:r w:rsidR="008A48AF">
        <w:t>S</w:t>
      </w:r>
      <w:r w:rsidRPr="00567DC2">
        <w:t xml:space="preserve"> portion AED)</w:t>
      </w:r>
    </w:p>
    <w:p w:rsidR="00567DC2" w:rsidRDefault="00567DC2" w:rsidP="008A48AF">
      <w:pPr>
        <w:pStyle w:val="ListParagraph"/>
        <w:numPr>
          <w:ilvl w:val="0"/>
          <w:numId w:val="1"/>
        </w:numPr>
      </w:pPr>
      <w:r w:rsidRPr="00567DC2">
        <w:t xml:space="preserve">Where </w:t>
      </w:r>
      <w:r w:rsidR="00D21AA5" w:rsidRPr="00EC6EBF">
        <w:rPr>
          <w:b/>
        </w:rPr>
        <w:t xml:space="preserve">Total </w:t>
      </w:r>
      <w:r w:rsidR="008A48AF">
        <w:rPr>
          <w:b/>
        </w:rPr>
        <w:t>Cost*</w:t>
      </w:r>
      <w:r w:rsidRPr="00EC6EBF">
        <w:rPr>
          <w:b/>
        </w:rPr>
        <w:t xml:space="preserve"> for High Cost Listed HCPC</w:t>
      </w:r>
      <w:r w:rsidR="008A48AF">
        <w:rPr>
          <w:b/>
        </w:rPr>
        <w:t>S</w:t>
      </w:r>
      <w:r w:rsidRPr="00EC6EBF">
        <w:rPr>
          <w:b/>
        </w:rPr>
        <w:t xml:space="preserve"> in a DRG claim</w:t>
      </w:r>
      <w:r w:rsidRPr="00567DC2">
        <w:t xml:space="preserve"> = Sum</w:t>
      </w:r>
      <w:r w:rsidR="00B155C3" w:rsidRPr="00B155C3">
        <w:t>(</w:t>
      </w:r>
      <w:proofErr w:type="spellStart"/>
      <w:r w:rsidR="00B155C3" w:rsidRPr="00EC6EBF">
        <w:rPr>
          <w:b/>
        </w:rPr>
        <w:t>ActivityCost</w:t>
      </w:r>
      <w:proofErr w:type="spellEnd"/>
      <w:r w:rsidR="008A48AF">
        <w:t xml:space="preserve"> x </w:t>
      </w:r>
      <w:r w:rsidR="00B155C3" w:rsidRPr="00EC6EBF">
        <w:rPr>
          <w:b/>
        </w:rPr>
        <w:t>Quantity</w:t>
      </w:r>
      <w:r w:rsidR="00B155C3" w:rsidRPr="00B155C3">
        <w:t>)</w:t>
      </w:r>
      <w:r w:rsidR="00D21AA5">
        <w:t xml:space="preserve">for all </w:t>
      </w:r>
      <w:r w:rsidR="008A48AF">
        <w:rPr>
          <w:b/>
        </w:rPr>
        <w:t>High Cost Listed HCPCS</w:t>
      </w:r>
      <w:r w:rsidR="00B155C3">
        <w:t xml:space="preserve"> reported in a claim</w:t>
      </w:r>
      <w:r w:rsidR="00B155C3" w:rsidRPr="00567DC2" w:rsidDel="00D21AA5">
        <w:t xml:space="preserve"> </w:t>
      </w:r>
      <w:r w:rsidRPr="00567DC2">
        <w:t xml:space="preserve"> </w:t>
      </w:r>
    </w:p>
    <w:p w:rsidR="007158A7" w:rsidRDefault="00567DC2" w:rsidP="008A48AF">
      <w:pPr>
        <w:pStyle w:val="ListParagraph"/>
        <w:numPr>
          <w:ilvl w:val="0"/>
          <w:numId w:val="1"/>
        </w:numPr>
      </w:pPr>
      <w:r w:rsidRPr="00567DC2">
        <w:t>And DRG HCPC</w:t>
      </w:r>
      <w:r w:rsidR="008A48AF">
        <w:t>S</w:t>
      </w:r>
      <w:r w:rsidRPr="00567DC2">
        <w:t xml:space="preserve"> portion AED = the DRG specific HCPC</w:t>
      </w:r>
      <w:r w:rsidR="008A48AF">
        <w:t>S</w:t>
      </w:r>
      <w:r w:rsidRPr="00567DC2">
        <w:t xml:space="preserve"> portion % in (Table B) X DRG payment</w:t>
      </w:r>
    </w:p>
    <w:p w:rsidR="00295181" w:rsidRDefault="00A01A4C" w:rsidP="000A6F97">
      <w:r w:rsidRPr="00A01A4C">
        <w:t xml:space="preserve">In case of outlier payment, it will account for the </w:t>
      </w:r>
      <w:r w:rsidR="00295181">
        <w:t xml:space="preserve">received </w:t>
      </w:r>
      <w:r w:rsidRPr="00A01A4C">
        <w:t xml:space="preserve">add-on payment as </w:t>
      </w:r>
      <w:r w:rsidR="00295181">
        <w:t>below</w:t>
      </w:r>
      <w:r w:rsidR="000A6F97">
        <w:t>:</w:t>
      </w:r>
    </w:p>
    <w:p w:rsidR="00777FD4" w:rsidRDefault="00295181" w:rsidP="008A48AF">
      <w:pPr>
        <w:ind w:firstLine="720"/>
      </w:pPr>
      <w:r>
        <w:t>Outlier payment = (Cost – Base Payment –HCPC</w:t>
      </w:r>
      <w:r w:rsidR="008A48AF">
        <w:t>S</w:t>
      </w:r>
      <w:r>
        <w:t xml:space="preserve"> Add on Payment– Gap) x Marginal</w:t>
      </w:r>
    </w:p>
    <w:p w:rsidR="008D6742" w:rsidRDefault="008D6742" w:rsidP="00777FD4">
      <w:r>
        <w:t>Claiming rules:</w:t>
      </w:r>
    </w:p>
    <w:p w:rsidR="00D21AA5" w:rsidRDefault="00D21AA5" w:rsidP="00355B6D">
      <w:pPr>
        <w:pStyle w:val="ListParagraph"/>
        <w:numPr>
          <w:ilvl w:val="0"/>
          <w:numId w:val="3"/>
        </w:numPr>
      </w:pPr>
      <w:r>
        <w:t xml:space="preserve">The use of </w:t>
      </w:r>
      <w:r w:rsidRPr="00EC6EBF">
        <w:rPr>
          <w:b/>
        </w:rPr>
        <w:t>High Cost Listed HCPC</w:t>
      </w:r>
      <w:r w:rsidR="00355B6D">
        <w:rPr>
          <w:b/>
        </w:rPr>
        <w:t>S</w:t>
      </w:r>
      <w:r w:rsidR="00EC6EBF">
        <w:t xml:space="preserve"> is subject to prior </w:t>
      </w:r>
      <w:r w:rsidR="00EC6EBF" w:rsidRPr="00EC6EBF">
        <w:rPr>
          <w:lang w:val="en-GB"/>
        </w:rPr>
        <w:t>authoris</w:t>
      </w:r>
      <w:r w:rsidRPr="00EC6EBF">
        <w:rPr>
          <w:lang w:val="en-GB"/>
        </w:rPr>
        <w:t>ation</w:t>
      </w:r>
      <w:r>
        <w:t xml:space="preserve"> by the Payer</w:t>
      </w:r>
    </w:p>
    <w:p w:rsidR="008D6742" w:rsidRPr="008D6742" w:rsidRDefault="008D6742" w:rsidP="00256EB6">
      <w:pPr>
        <w:pStyle w:val="ListParagraph"/>
        <w:numPr>
          <w:ilvl w:val="0"/>
          <w:numId w:val="3"/>
        </w:numPr>
      </w:pPr>
      <w:r w:rsidRPr="00D21AA5">
        <w:t>The</w:t>
      </w:r>
      <w:r w:rsidRPr="008D6742">
        <w:rPr>
          <w:b/>
        </w:rPr>
        <w:t xml:space="preserve"> Add-on Payment</w:t>
      </w:r>
      <w:r w:rsidRPr="008D6742">
        <w:t xml:space="preserve"> </w:t>
      </w:r>
      <w:r>
        <w:t xml:space="preserve">is claimed under the Service Code </w:t>
      </w:r>
      <w:r w:rsidR="00256EB6">
        <w:t>98</w:t>
      </w:r>
    </w:p>
    <w:p w:rsidR="008D6742" w:rsidRPr="00A329CB" w:rsidRDefault="008D6742" w:rsidP="00355B6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lastRenderedPageBreak/>
        <w:t xml:space="preserve">For all </w:t>
      </w:r>
      <w:r w:rsidRPr="00EC6EBF">
        <w:rPr>
          <w:b/>
        </w:rPr>
        <w:t>High Cost Listed HCPC</w:t>
      </w:r>
      <w:r w:rsidR="00355B6D">
        <w:rPr>
          <w:b/>
        </w:rPr>
        <w:t>S</w:t>
      </w:r>
      <w:r>
        <w:t xml:space="preserve"> activities </w:t>
      </w:r>
      <w:r w:rsidR="00DD56AB">
        <w:t xml:space="preserve">in both </w:t>
      </w:r>
      <w:proofErr w:type="spellStart"/>
      <w:r w:rsidR="00DD56AB">
        <w:t>PriortRequest</w:t>
      </w:r>
      <w:proofErr w:type="spellEnd"/>
      <w:r w:rsidR="00DD56AB">
        <w:t xml:space="preserve"> and </w:t>
      </w:r>
      <w:proofErr w:type="spellStart"/>
      <w:r w:rsidR="00DD56AB">
        <w:t>ClaimSubmission</w:t>
      </w:r>
      <w:proofErr w:type="spellEnd"/>
      <w:r w:rsidR="00DD56AB">
        <w:t xml:space="preserve"> transactions Provider</w:t>
      </w:r>
      <w:r>
        <w:t xml:space="preserve"> report</w:t>
      </w:r>
      <w:r w:rsidR="00DD56AB">
        <w:t>s</w:t>
      </w:r>
      <w:r>
        <w:t xml:space="preserve"> the </w:t>
      </w:r>
      <w:proofErr w:type="spellStart"/>
      <w:r w:rsidRPr="008D6742">
        <w:rPr>
          <w:b/>
        </w:rPr>
        <w:t>ActivityCost</w:t>
      </w:r>
      <w:proofErr w:type="spellEnd"/>
      <w:r>
        <w:t xml:space="preserve"> observation as per routine reporting requirements:</w:t>
      </w:r>
      <w:r>
        <w:br/>
      </w:r>
      <w:r w:rsidR="0073005F">
        <w:t xml:space="preserve">   </w:t>
      </w:r>
      <w:r w:rsidR="0073005F">
        <w:tab/>
      </w:r>
      <w:hyperlink r:id="rId9" w:history="1">
        <w:r w:rsidR="0073005F" w:rsidRPr="0073005F">
          <w:rPr>
            <w:rStyle w:val="Hyperlink"/>
          </w:rPr>
          <w:t>www.haad.ae/DataDictionary/RoutineReporting</w:t>
        </w:r>
      </w:hyperlink>
    </w:p>
    <w:p w:rsidR="00A329CB" w:rsidRDefault="00A329CB" w:rsidP="00355B6D">
      <w:pPr>
        <w:pStyle w:val="ListParagraph"/>
        <w:numPr>
          <w:ilvl w:val="0"/>
          <w:numId w:val="3"/>
        </w:numPr>
      </w:pPr>
      <w:r w:rsidRPr="00D82FFB">
        <w:t>Providers submit their original invoice for the HCPCS as attachment to the claim submission at the HCPC</w:t>
      </w:r>
      <w:r w:rsidR="00355B6D">
        <w:t>S</w:t>
      </w:r>
      <w:r w:rsidRPr="00D82FFB">
        <w:t xml:space="preserve"> activity level</w:t>
      </w:r>
    </w:p>
    <w:p w:rsidR="00D21AA5" w:rsidRDefault="0073005F" w:rsidP="00D21AA5">
      <w:pPr>
        <w:pStyle w:val="ListParagraph"/>
        <w:numPr>
          <w:ilvl w:val="0"/>
          <w:numId w:val="3"/>
        </w:numPr>
      </w:pPr>
      <w:r>
        <w:t>Provider</w:t>
      </w:r>
      <w:r w:rsidR="00D21AA5" w:rsidRPr="00D21AA5">
        <w:t xml:space="preserve"> must </w:t>
      </w:r>
      <w:r w:rsidR="00D21AA5">
        <w:t xml:space="preserve">maintain the </w:t>
      </w:r>
      <w:r w:rsidR="00D21AA5" w:rsidRPr="00D21AA5">
        <w:t xml:space="preserve">documentation supporting the </w:t>
      </w:r>
      <w:r w:rsidR="00D21AA5">
        <w:t xml:space="preserve">reported </w:t>
      </w:r>
      <w:proofErr w:type="spellStart"/>
      <w:r w:rsidR="00D21AA5" w:rsidRPr="00EC6EBF">
        <w:rPr>
          <w:b/>
        </w:rPr>
        <w:t>ActivityCost</w:t>
      </w:r>
      <w:proofErr w:type="spellEnd"/>
      <w:r w:rsidR="00D21AA5">
        <w:t xml:space="preserve"> </w:t>
      </w:r>
      <w:r w:rsidR="00EC6EBF">
        <w:t>readily available for audit</w:t>
      </w:r>
    </w:p>
    <w:p w:rsidR="008D6742" w:rsidRDefault="005560B2" w:rsidP="00777FD4">
      <w:r w:rsidRPr="005560B2">
        <w:rPr>
          <w:noProof/>
        </w:rPr>
        <w:drawing>
          <wp:inline distT="0" distB="0" distL="0" distR="0" wp14:anchorId="37C66474" wp14:editId="51087634">
            <wp:extent cx="5943600" cy="279894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6D" w:rsidRDefault="00355B6D" w:rsidP="008A48AF">
      <w:pPr>
        <w:rPr>
          <w:b/>
          <w:bCs/>
        </w:rPr>
      </w:pPr>
    </w:p>
    <w:p w:rsidR="00355B6D" w:rsidRDefault="00567DC2" w:rsidP="008A48AF">
      <w:pPr>
        <w:rPr>
          <w:noProof/>
        </w:rPr>
      </w:pPr>
      <w:r w:rsidRPr="007158A7">
        <w:rPr>
          <w:b/>
          <w:bCs/>
        </w:rPr>
        <w:t>Example 1:</w:t>
      </w:r>
    </w:p>
    <w:p w:rsidR="00355B6D" w:rsidRDefault="00355B6D" w:rsidP="008A48AF">
      <w:pPr>
        <w:rPr>
          <w:noProof/>
        </w:rPr>
      </w:pPr>
      <w:r w:rsidRPr="00355B6D">
        <w:rPr>
          <w:noProof/>
        </w:rPr>
        <w:drawing>
          <wp:inline distT="0" distB="0" distL="0" distR="0" wp14:anchorId="3BE8BE80" wp14:editId="6AE1178E">
            <wp:extent cx="5732145" cy="257745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7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4C" w:rsidRDefault="00A01A4C" w:rsidP="008A48AF">
      <w:r>
        <w:fldChar w:fldCharType="begin"/>
      </w:r>
      <w:r>
        <w:instrText xml:space="preserve"> LINK </w:instrText>
      </w:r>
      <w:r w:rsidR="0044187C">
        <w:instrText xml:space="preserve">Excel.Sheet.12 "\\\\AHC-FILESERVER3\\Strategy\\3 Analysis\\HFAM\\Requests\\DRG A\\2013 DRG Wt Update\\2013 DRG Final Q4 Update\\2014 DRG_WeightUpdateMethodology- Market v.3.xlsx" "Add-On Pmt &amp; HCPCs Adjustment!R8C1:R27C5" </w:instrText>
      </w:r>
      <w:r>
        <w:instrText xml:space="preserve">\a \f 4 \h </w:instrText>
      </w:r>
      <w:r>
        <w:fldChar w:fldCharType="separate"/>
      </w:r>
    </w:p>
    <w:p w:rsidR="00A37917" w:rsidRDefault="00A01A4C" w:rsidP="008A48AF">
      <w:r>
        <w:rPr>
          <w:b/>
          <w:bCs/>
        </w:rPr>
        <w:fldChar w:fldCharType="end"/>
      </w:r>
      <w:r w:rsidR="007E2093" w:rsidRPr="007158A7">
        <w:rPr>
          <w:b/>
          <w:bCs/>
        </w:rPr>
        <w:t>Example 2:</w:t>
      </w:r>
      <w:r w:rsidR="008A48AF" w:rsidRPr="008A48AF">
        <w:rPr>
          <w:noProof/>
        </w:rPr>
        <w:drawing>
          <wp:inline distT="0" distB="0" distL="0" distR="0" wp14:anchorId="493FC794" wp14:editId="2ED852FB">
            <wp:extent cx="5732145" cy="2580214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FB" w:rsidRDefault="00D82FFB" w:rsidP="00DD6B61">
      <w:pPr>
        <w:rPr>
          <w:b/>
          <w:bCs/>
        </w:rPr>
      </w:pPr>
    </w:p>
    <w:p w:rsidR="007E2093" w:rsidRPr="007158A7" w:rsidRDefault="007E2093" w:rsidP="00DD6B61">
      <w:pPr>
        <w:rPr>
          <w:b/>
          <w:bCs/>
        </w:rPr>
      </w:pPr>
      <w:r w:rsidRPr="007158A7">
        <w:rPr>
          <w:b/>
          <w:bCs/>
        </w:rPr>
        <w:t>Example 3:</w:t>
      </w:r>
    </w:p>
    <w:p w:rsidR="00A37917" w:rsidRDefault="00A37917"/>
    <w:p w:rsidR="009261A9" w:rsidRDefault="008A48AF" w:rsidP="00DD6B61">
      <w:bookmarkStart w:id="0" w:name="_GoBack"/>
      <w:r w:rsidRPr="008A48AF">
        <w:rPr>
          <w:noProof/>
        </w:rPr>
        <w:drawing>
          <wp:inline distT="0" distB="0" distL="0" distR="0" wp14:anchorId="11DBC21C" wp14:editId="36B2627F">
            <wp:extent cx="5732145" cy="2580214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61A9" w:rsidSect="008C145A">
      <w:headerReference w:type="default" r:id="rId14"/>
      <w:pgSz w:w="11907" w:h="16839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AF" w:rsidRDefault="008A48AF" w:rsidP="00EF314A">
      <w:pPr>
        <w:spacing w:after="0" w:line="240" w:lineRule="auto"/>
      </w:pPr>
      <w:r>
        <w:separator/>
      </w:r>
    </w:p>
  </w:endnote>
  <w:endnote w:type="continuationSeparator" w:id="0">
    <w:p w:rsidR="008A48AF" w:rsidRDefault="008A48AF" w:rsidP="00EF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AF" w:rsidRDefault="008A48AF" w:rsidP="00EF314A">
      <w:pPr>
        <w:spacing w:after="0" w:line="240" w:lineRule="auto"/>
      </w:pPr>
      <w:r>
        <w:separator/>
      </w:r>
    </w:p>
  </w:footnote>
  <w:footnote w:type="continuationSeparator" w:id="0">
    <w:p w:rsidR="008A48AF" w:rsidRDefault="008A48AF" w:rsidP="00EF314A">
      <w:pPr>
        <w:spacing w:after="0" w:line="240" w:lineRule="auto"/>
      </w:pPr>
      <w:r>
        <w:continuationSeparator/>
      </w:r>
    </w:p>
  </w:footnote>
  <w:footnote w:id="1">
    <w:p w:rsidR="008A48AF" w:rsidRDefault="008A48AF">
      <w:pPr>
        <w:pStyle w:val="FootnoteText"/>
      </w:pPr>
      <w:r>
        <w:rPr>
          <w:rStyle w:val="FootnoteReference"/>
        </w:rPr>
        <w:footnoteRef/>
      </w:r>
      <w:r>
        <w:t xml:space="preserve"> 75% reimbursement amount was selected based on the experience of the US </w:t>
      </w:r>
      <w:r w:rsidRPr="00972F0D">
        <w:t>Medicare High Cost Devices</w:t>
      </w:r>
      <w:r>
        <w:t xml:space="preserve"> </w:t>
      </w:r>
      <w:proofErr w:type="spellStart"/>
      <w:r>
        <w:t>programme</w:t>
      </w:r>
      <w:proofErr w:type="spellEnd"/>
      <w:r>
        <w:t xml:space="preserve"> </w:t>
      </w:r>
      <w:hyperlink r:id="rId1" w:history="1">
        <w:r w:rsidRPr="007158A7">
          <w:rPr>
            <w:rStyle w:val="Hyperlink"/>
          </w:rPr>
          <w:t>http://www.gpo.gov/fdsys/pkg/FR-2013-08-19/pdf/2013-18956.pdf</w:t>
        </w:r>
      </w:hyperlink>
      <w:r>
        <w:t>* handles similar add on payments and also a goal to support an efficient payment system.</w:t>
      </w:r>
    </w:p>
    <w:p w:rsidR="008A48AF" w:rsidRDefault="008A48AF" w:rsidP="001F30FF">
      <w:pPr>
        <w:pStyle w:val="FootnoteText"/>
      </w:pPr>
      <w:r>
        <w:t xml:space="preserve">* HCPCS </w:t>
      </w:r>
      <w:r w:rsidR="001F30FF">
        <w:t xml:space="preserve">Activity </w:t>
      </w:r>
      <w:r>
        <w:t xml:space="preserve">Cost for this Add on Payment </w:t>
      </w:r>
      <w:r w:rsidR="004E38CF">
        <w:t xml:space="preserve">in a DRG claim </w:t>
      </w:r>
      <w:r>
        <w:t>is defined to be the invoice cost amount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5A" w:rsidRDefault="008C145A">
    <w:pPr>
      <w:pStyle w:val="Header"/>
    </w:pPr>
    <w:r>
      <w:rPr>
        <w:noProof/>
      </w:rPr>
      <w:drawing>
        <wp:inline distT="0" distB="0" distL="0" distR="0">
          <wp:extent cx="2502408" cy="1345692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-WM-Crest-RG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408" cy="134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461"/>
    <w:multiLevelType w:val="hybridMultilevel"/>
    <w:tmpl w:val="CF32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2D4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1321D"/>
    <w:multiLevelType w:val="hybridMultilevel"/>
    <w:tmpl w:val="F4E4930C"/>
    <w:lvl w:ilvl="0" w:tplc="5B8C9B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0D07"/>
    <w:multiLevelType w:val="hybridMultilevel"/>
    <w:tmpl w:val="FD26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0349"/>
    <w:multiLevelType w:val="hybridMultilevel"/>
    <w:tmpl w:val="3F9A49F4"/>
    <w:lvl w:ilvl="0" w:tplc="4802E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A9"/>
    <w:rsid w:val="000A6F97"/>
    <w:rsid w:val="00120BF0"/>
    <w:rsid w:val="0016249D"/>
    <w:rsid w:val="001A7167"/>
    <w:rsid w:val="001A71A6"/>
    <w:rsid w:val="001F30FF"/>
    <w:rsid w:val="001F46D3"/>
    <w:rsid w:val="00256EB6"/>
    <w:rsid w:val="00295181"/>
    <w:rsid w:val="00346049"/>
    <w:rsid w:val="00351342"/>
    <w:rsid w:val="00355B6D"/>
    <w:rsid w:val="003B0E7B"/>
    <w:rsid w:val="0044187C"/>
    <w:rsid w:val="004E38CF"/>
    <w:rsid w:val="00540FCB"/>
    <w:rsid w:val="005560B2"/>
    <w:rsid w:val="00562972"/>
    <w:rsid w:val="00567DC2"/>
    <w:rsid w:val="0057774B"/>
    <w:rsid w:val="005F5AE8"/>
    <w:rsid w:val="006D67F4"/>
    <w:rsid w:val="007158A7"/>
    <w:rsid w:val="0073005F"/>
    <w:rsid w:val="00777FD4"/>
    <w:rsid w:val="007D10A7"/>
    <w:rsid w:val="007E2093"/>
    <w:rsid w:val="00816DE6"/>
    <w:rsid w:val="008225B0"/>
    <w:rsid w:val="00881F37"/>
    <w:rsid w:val="00884D3B"/>
    <w:rsid w:val="008A48AF"/>
    <w:rsid w:val="008C145A"/>
    <w:rsid w:val="008D6742"/>
    <w:rsid w:val="009261A9"/>
    <w:rsid w:val="00972F0D"/>
    <w:rsid w:val="009A69A4"/>
    <w:rsid w:val="009D21B4"/>
    <w:rsid w:val="00A01A4C"/>
    <w:rsid w:val="00A07DC9"/>
    <w:rsid w:val="00A329CB"/>
    <w:rsid w:val="00A37917"/>
    <w:rsid w:val="00AD1EDE"/>
    <w:rsid w:val="00AE41D3"/>
    <w:rsid w:val="00B155C3"/>
    <w:rsid w:val="00BB1D9B"/>
    <w:rsid w:val="00D21AA5"/>
    <w:rsid w:val="00D82FFB"/>
    <w:rsid w:val="00DD56AB"/>
    <w:rsid w:val="00DD6B61"/>
    <w:rsid w:val="00E24C32"/>
    <w:rsid w:val="00E6700F"/>
    <w:rsid w:val="00E82227"/>
    <w:rsid w:val="00E84812"/>
    <w:rsid w:val="00EC6EBF"/>
    <w:rsid w:val="00EF314A"/>
    <w:rsid w:val="00F062AC"/>
    <w:rsid w:val="00F40CCF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CCB54-AC2E-40D1-8C76-14B987B5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9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D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3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1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F31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5A"/>
  </w:style>
  <w:style w:type="paragraph" w:styleId="Footer">
    <w:name w:val="footer"/>
    <w:basedOn w:val="Normal"/>
    <w:link w:val="FooterChar"/>
    <w:uiPriority w:val="99"/>
    <w:unhideWhenUsed/>
    <w:rsid w:val="008C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fafiya.org/Dictionary/Prices/20140901_DRG_WeightUpdateMethodology.xlsx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haad.ae/DataDictionary/RoutineReporting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o.gov/fdsys/pkg/FR-2013-08-19/pdf/2013-1895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0CCF-B583-46E0-B4CC-BDA2C5ED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Kaelin</dc:creator>
  <cp:lastModifiedBy>Luis Andres Perfetti</cp:lastModifiedBy>
  <cp:revision>3</cp:revision>
  <cp:lastPrinted>2014-07-21T04:54:00Z</cp:lastPrinted>
  <dcterms:created xsi:type="dcterms:W3CDTF">2015-05-03T04:49:00Z</dcterms:created>
  <dcterms:modified xsi:type="dcterms:W3CDTF">2015-05-03T04:50:00Z</dcterms:modified>
</cp:coreProperties>
</file>